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VENDIM</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Nr. 315, datë 31.5.2018</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PËR MIRATIMIN E RREGULLORES PËR MARKAT</w:t>
      </w:r>
    </w:p>
    <w:p w:rsidR="0046598A" w:rsidRPr="0046598A" w:rsidRDefault="0046598A" w:rsidP="009A47D1">
      <w:pPr>
        <w:jc w:val="center"/>
        <w:rPr>
          <w:rFonts w:ascii="Times New Roman" w:hAnsi="Times New Roman" w:cs="Times New Roman"/>
          <w:b/>
          <w:sz w:val="24"/>
          <w:szCs w:val="24"/>
        </w:rPr>
      </w:pPr>
    </w:p>
    <w:p w:rsidR="0046598A" w:rsidRPr="0046598A" w:rsidRDefault="0046598A" w:rsidP="0046598A">
      <w:pPr>
        <w:rPr>
          <w:rFonts w:ascii="Times New Roman" w:hAnsi="Times New Roman" w:cs="Times New Roman"/>
          <w:b/>
          <w:sz w:val="24"/>
          <w:szCs w:val="24"/>
        </w:rPr>
      </w:pPr>
      <w:r w:rsidRPr="0046598A">
        <w:rPr>
          <w:rFonts w:ascii="Times New Roman" w:hAnsi="Times New Roman" w:cs="Times New Roman"/>
          <w:b/>
          <w:sz w:val="24"/>
          <w:szCs w:val="24"/>
        </w:rPr>
        <w:t>Ndryshuar me:</w:t>
      </w:r>
    </w:p>
    <w:p w:rsidR="0046598A" w:rsidRPr="0046598A" w:rsidRDefault="0046598A" w:rsidP="0046598A">
      <w:pPr>
        <w:rPr>
          <w:rFonts w:ascii="Times New Roman" w:hAnsi="Times New Roman" w:cs="Times New Roman"/>
          <w:sz w:val="24"/>
          <w:szCs w:val="24"/>
        </w:rPr>
      </w:pPr>
      <w:r w:rsidRPr="0046598A">
        <w:rPr>
          <w:rFonts w:ascii="Times New Roman" w:hAnsi="Times New Roman" w:cs="Times New Roman"/>
          <w:w w:val="105"/>
          <w:sz w:val="24"/>
          <w:szCs w:val="24"/>
        </w:rPr>
        <w:t xml:space="preserve">VKM </w:t>
      </w:r>
      <w:r w:rsidRPr="0046598A">
        <w:rPr>
          <w:rFonts w:ascii="Times New Roman" w:hAnsi="Times New Roman" w:cs="Times New Roman"/>
          <w:w w:val="95"/>
          <w:sz w:val="24"/>
          <w:szCs w:val="24"/>
        </w:rPr>
        <w:t>Nr.</w:t>
      </w:r>
      <w:r w:rsidRPr="0046598A">
        <w:rPr>
          <w:rFonts w:ascii="Times New Roman" w:hAnsi="Times New Roman" w:cs="Times New Roman"/>
          <w:spacing w:val="7"/>
          <w:w w:val="95"/>
          <w:sz w:val="24"/>
          <w:szCs w:val="24"/>
        </w:rPr>
        <w:t xml:space="preserve"> </w:t>
      </w:r>
      <w:r w:rsidRPr="0046598A">
        <w:rPr>
          <w:rFonts w:ascii="Times New Roman" w:hAnsi="Times New Roman" w:cs="Times New Roman"/>
          <w:w w:val="95"/>
          <w:sz w:val="24"/>
          <w:szCs w:val="24"/>
        </w:rPr>
        <w:t>543,</w:t>
      </w:r>
      <w:r w:rsidRPr="0046598A">
        <w:rPr>
          <w:rFonts w:ascii="Times New Roman" w:hAnsi="Times New Roman" w:cs="Times New Roman"/>
          <w:spacing w:val="8"/>
          <w:w w:val="95"/>
          <w:sz w:val="24"/>
          <w:szCs w:val="24"/>
        </w:rPr>
        <w:t xml:space="preserve"> </w:t>
      </w:r>
      <w:r w:rsidRPr="0046598A">
        <w:rPr>
          <w:rFonts w:ascii="Times New Roman" w:hAnsi="Times New Roman" w:cs="Times New Roman"/>
          <w:w w:val="95"/>
          <w:sz w:val="24"/>
          <w:szCs w:val="24"/>
        </w:rPr>
        <w:t>datë</w:t>
      </w:r>
      <w:r w:rsidRPr="0046598A">
        <w:rPr>
          <w:rFonts w:ascii="Times New Roman" w:hAnsi="Times New Roman" w:cs="Times New Roman"/>
          <w:spacing w:val="9"/>
          <w:w w:val="95"/>
          <w:sz w:val="24"/>
          <w:szCs w:val="24"/>
        </w:rPr>
        <w:t xml:space="preserve"> </w:t>
      </w:r>
      <w:r w:rsidRPr="0046598A">
        <w:rPr>
          <w:rFonts w:ascii="Times New Roman" w:hAnsi="Times New Roman" w:cs="Times New Roman"/>
          <w:w w:val="95"/>
          <w:sz w:val="24"/>
          <w:szCs w:val="24"/>
        </w:rPr>
        <w:t>29.7.2022</w:t>
      </w:r>
    </w:p>
    <w:p w:rsidR="0046598A" w:rsidRPr="0046598A" w:rsidRDefault="0046598A" w:rsidP="009A47D1">
      <w:pPr>
        <w:jc w:val="center"/>
        <w:rPr>
          <w:rFonts w:ascii="Times New Roman" w:hAnsi="Times New Roman" w:cs="Times New Roman"/>
          <w:b/>
          <w:sz w:val="24"/>
          <w:szCs w:val="24"/>
        </w:rPr>
      </w:pP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Në mbështetje të nenit 100 të Kushtetutës dhe të neneve 143, 151/c, 152, 155, 163/a, 163/b, 175/</w:t>
      </w:r>
      <w:proofErr w:type="gramStart"/>
      <w:r w:rsidRPr="0046598A">
        <w:rPr>
          <w:rFonts w:ascii="Times New Roman" w:hAnsi="Times New Roman" w:cs="Times New Roman"/>
          <w:sz w:val="24"/>
          <w:szCs w:val="24"/>
        </w:rPr>
        <w:t>a</w:t>
      </w:r>
      <w:proofErr w:type="gramEnd"/>
      <w:r w:rsidRPr="0046598A">
        <w:rPr>
          <w:rFonts w:ascii="Times New Roman" w:hAnsi="Times New Roman" w:cs="Times New Roman"/>
          <w:sz w:val="24"/>
          <w:szCs w:val="24"/>
        </w:rPr>
        <w:t xml:space="preserve"> e 202, të ligjit nr. 9947, datë 7.7.2008, “Për pronësinë industriale”, të ndryshuar, me propozimin e ministrit të Financave dhe Ekonomisë, Këshilli i Ministrave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VENDOSI:</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Miratimin e rregullores për markat, sipas tekstit që i bashkëlidhet këtij vendimi.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Vendimi nr. </w:t>
      </w:r>
      <w:proofErr w:type="gramStart"/>
      <w:r w:rsidRPr="0046598A">
        <w:rPr>
          <w:rFonts w:ascii="Times New Roman" w:hAnsi="Times New Roman" w:cs="Times New Roman"/>
          <w:sz w:val="24"/>
          <w:szCs w:val="24"/>
        </w:rPr>
        <w:t>1706, datë 29.12.2008, i Këshillit të Ministrave, “Për miratimin e rregullores për regjistrimin e markave tregtare dhe të shërbimit”, të ndryshuar, shfuqizohet.</w:t>
      </w:r>
      <w:proofErr w:type="gramEnd"/>
      <w:r w:rsidRPr="0046598A">
        <w:rPr>
          <w:rFonts w:ascii="Times New Roman" w:hAnsi="Times New Roman" w:cs="Times New Roman"/>
          <w:sz w:val="24"/>
          <w:szCs w:val="24"/>
        </w:rPr>
        <w:t xml:space="preserve"> </w:t>
      </w:r>
    </w:p>
    <w:p w:rsidR="009A47D1"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3. Ngarkohet Drejtoria e Përgjithshme e Pronësisë Industriale për zbatimin e këtij vendimi.</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vendim hyn në fuqi pas botimit në Fletoren Zyrtare. </w:t>
      </w:r>
    </w:p>
    <w:p w:rsidR="009A47D1" w:rsidRPr="0046598A" w:rsidRDefault="009A47D1" w:rsidP="009A47D1">
      <w:pPr>
        <w:jc w:val="right"/>
        <w:rPr>
          <w:rFonts w:ascii="Times New Roman" w:hAnsi="Times New Roman" w:cs="Times New Roman"/>
          <w:sz w:val="24"/>
          <w:szCs w:val="24"/>
        </w:rPr>
      </w:pPr>
      <w:r w:rsidRPr="0046598A">
        <w:rPr>
          <w:rFonts w:ascii="Times New Roman" w:hAnsi="Times New Roman" w:cs="Times New Roman"/>
          <w:sz w:val="24"/>
          <w:szCs w:val="24"/>
        </w:rPr>
        <w:t xml:space="preserve">KRYEMINISTRI </w:t>
      </w:r>
    </w:p>
    <w:p w:rsidR="009A47D1" w:rsidRPr="0046598A" w:rsidRDefault="009A47D1" w:rsidP="009A47D1">
      <w:pPr>
        <w:jc w:val="right"/>
        <w:rPr>
          <w:rFonts w:ascii="Times New Roman" w:hAnsi="Times New Roman" w:cs="Times New Roman"/>
          <w:b/>
          <w:sz w:val="24"/>
          <w:szCs w:val="24"/>
        </w:rPr>
      </w:pPr>
      <w:r w:rsidRPr="0046598A">
        <w:rPr>
          <w:rFonts w:ascii="Times New Roman" w:hAnsi="Times New Roman" w:cs="Times New Roman"/>
          <w:b/>
          <w:sz w:val="24"/>
          <w:szCs w:val="24"/>
        </w:rPr>
        <w:t xml:space="preserve">Edi Rama </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RREGULLORE PËR MARKAT</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KREU I</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DISPOZITA TË PËRGJITHSHME</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1</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Qëllimi</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Rregullorja për regjistrimin e markave ka si qëllim të zbatojë dhe të përcaktojë në mënyrë të detajuar çështje të caktuara të parashikuara në ligjin nr.</w:t>
      </w:r>
      <w:proofErr w:type="gramEnd"/>
      <w:r w:rsidRPr="0046598A">
        <w:rPr>
          <w:rFonts w:ascii="Times New Roman" w:hAnsi="Times New Roman" w:cs="Times New Roman"/>
          <w:sz w:val="24"/>
          <w:szCs w:val="24"/>
        </w:rPr>
        <w:t xml:space="preserve"> 9947, datë 7.7.2008, “Për pronësinë industriale”, të ndryshuar, për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u takon procedurave në lidhje me markat, të ndjekura nga DPPI-ja.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2</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Përkufizime</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Në zbatim të kësaj rregulloreje, termat e mëposhtëm kanë këtë kuptim: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 “Rregullorja”, kjo rregullore për markat;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“Ligji”, ligji nr. 9947, datë 7.7.2008, “Për pronësinë industriale”, i ndryshuar;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“Zyra”, Drejtoria e Përgjithshme e Pronësisë Industriale (në vijim “Zyra” ose “DPPI”);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“Buletini Zyrtar”, Buletini Zyrtar i Pronësisë Industriale;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“Klasifikimi i Nicës” klasifikimi ndërkombëtar i mallrave dhe shërbimeve, në funksion të regjistrimit të markave, i miratuar me marrëveshjen e Nicës, më 15 korrik 1957, me të gjitha ndryshimet e mëvonshme;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“Kodet INID”, kodet e themeluara nga Organizata Botërore e Pronësisë Intelektuale (OBPI ose WIPO) (standardet e WIPO-s, ST.60 dhe ST.3), për të identifikuar të dhënat bibliografike lidhur me markat;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“Klasifikimi i Vjenës”, klasifikimi i elementeve figurative të markës në përputhje me klasifikimin e miratuar nga marrëveshja e Vjenës;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“Rregullore e përbashkët”, rregullorja sipas marrëveshjes së Madridit për regjistrimet ndërkombëtare të markave dhe protokollit, që lidhet me këtë marrëveshje;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9. “Marrëveshja e Madridit”, marrëveshja e datës 14.4.1891, për regjistrimin ndërkombëtar të markave, me të gjitha ndryshimet e mëvonshme; </w:t>
      </w:r>
    </w:p>
    <w:p w:rsidR="0046598A" w:rsidRPr="0046598A" w:rsidRDefault="0046598A" w:rsidP="0046598A">
      <w:pPr>
        <w:rPr>
          <w:rFonts w:ascii="Times New Roman" w:hAnsi="Times New Roman" w:cs="Times New Roman"/>
          <w:i/>
          <w:w w:val="95"/>
          <w:sz w:val="24"/>
          <w:szCs w:val="24"/>
        </w:rPr>
      </w:pPr>
      <w:r w:rsidRPr="0046598A">
        <w:rPr>
          <w:rFonts w:ascii="Times New Roman" w:hAnsi="Times New Roman" w:cs="Times New Roman"/>
          <w:i/>
          <w:w w:val="95"/>
          <w:sz w:val="24"/>
          <w:szCs w:val="24"/>
        </w:rPr>
        <w:t>(Pas</w:t>
      </w:r>
      <w:r w:rsidRPr="0046598A">
        <w:rPr>
          <w:rFonts w:ascii="Times New Roman" w:hAnsi="Times New Roman" w:cs="Times New Roman"/>
          <w:i/>
          <w:spacing w:val="4"/>
          <w:w w:val="95"/>
          <w:sz w:val="24"/>
          <w:szCs w:val="24"/>
        </w:rPr>
        <w:t xml:space="preserve"> </w:t>
      </w:r>
      <w:r w:rsidRPr="0046598A">
        <w:rPr>
          <w:rFonts w:ascii="Times New Roman" w:hAnsi="Times New Roman" w:cs="Times New Roman"/>
          <w:i/>
          <w:w w:val="95"/>
          <w:sz w:val="24"/>
          <w:szCs w:val="24"/>
        </w:rPr>
        <w:t>pikës</w:t>
      </w:r>
      <w:r w:rsidRPr="0046598A">
        <w:rPr>
          <w:rFonts w:ascii="Times New Roman" w:hAnsi="Times New Roman" w:cs="Times New Roman"/>
          <w:i/>
          <w:spacing w:val="5"/>
          <w:w w:val="95"/>
          <w:sz w:val="24"/>
          <w:szCs w:val="24"/>
        </w:rPr>
        <w:t xml:space="preserve"> </w:t>
      </w:r>
      <w:proofErr w:type="gramStart"/>
      <w:r w:rsidRPr="0046598A">
        <w:rPr>
          <w:rFonts w:ascii="Times New Roman" w:hAnsi="Times New Roman" w:cs="Times New Roman"/>
          <w:i/>
          <w:w w:val="95"/>
          <w:sz w:val="24"/>
          <w:szCs w:val="24"/>
        </w:rPr>
        <w:t>9</w:t>
      </w:r>
      <w:r w:rsidRPr="0046598A">
        <w:rPr>
          <w:rFonts w:ascii="Times New Roman" w:hAnsi="Times New Roman" w:cs="Times New Roman"/>
          <w:i/>
          <w:spacing w:val="4"/>
          <w:w w:val="95"/>
          <w:sz w:val="24"/>
          <w:szCs w:val="24"/>
        </w:rPr>
        <w:t xml:space="preserve"> </w:t>
      </w:r>
      <w:r w:rsidRPr="0046598A">
        <w:rPr>
          <w:rFonts w:ascii="Times New Roman" w:hAnsi="Times New Roman" w:cs="Times New Roman"/>
          <w:i/>
          <w:w w:val="95"/>
          <w:sz w:val="24"/>
          <w:szCs w:val="24"/>
        </w:rPr>
        <w:t>shtohet</w:t>
      </w:r>
      <w:r w:rsidRPr="0046598A">
        <w:rPr>
          <w:rFonts w:ascii="Times New Roman" w:hAnsi="Times New Roman" w:cs="Times New Roman"/>
          <w:i/>
          <w:spacing w:val="4"/>
          <w:w w:val="95"/>
          <w:sz w:val="24"/>
          <w:szCs w:val="24"/>
        </w:rPr>
        <w:t xml:space="preserve"> </w:t>
      </w:r>
      <w:r w:rsidRPr="0046598A">
        <w:rPr>
          <w:rFonts w:ascii="Times New Roman" w:hAnsi="Times New Roman" w:cs="Times New Roman"/>
          <w:i/>
          <w:w w:val="95"/>
          <w:sz w:val="24"/>
          <w:szCs w:val="24"/>
        </w:rPr>
        <w:t>pika</w:t>
      </w:r>
      <w:r w:rsidRPr="0046598A">
        <w:rPr>
          <w:rFonts w:ascii="Times New Roman" w:hAnsi="Times New Roman" w:cs="Times New Roman"/>
          <w:i/>
          <w:spacing w:val="4"/>
          <w:w w:val="95"/>
          <w:sz w:val="24"/>
          <w:szCs w:val="24"/>
        </w:rPr>
        <w:t xml:space="preserve"> </w:t>
      </w:r>
      <w:r w:rsidRPr="0046598A">
        <w:rPr>
          <w:rFonts w:ascii="Times New Roman" w:hAnsi="Times New Roman" w:cs="Times New Roman"/>
          <w:i/>
          <w:w w:val="95"/>
          <w:sz w:val="24"/>
          <w:szCs w:val="24"/>
        </w:rPr>
        <w:t>9.1,</w:t>
      </w:r>
      <w:proofErr w:type="gramEnd"/>
      <w:r w:rsidRPr="0046598A">
        <w:rPr>
          <w:rFonts w:ascii="Times New Roman" w:hAnsi="Times New Roman" w:cs="Times New Roman"/>
          <w:i/>
          <w:w w:val="105"/>
          <w:sz w:val="24"/>
          <w:szCs w:val="24"/>
        </w:rPr>
        <w:t xml:space="preserve"> VKM </w:t>
      </w:r>
      <w:r w:rsidRPr="0046598A">
        <w:rPr>
          <w:rFonts w:ascii="Times New Roman" w:hAnsi="Times New Roman" w:cs="Times New Roman"/>
          <w:i/>
          <w:w w:val="95"/>
          <w:sz w:val="24"/>
          <w:szCs w:val="24"/>
        </w:rPr>
        <w:t>Nr.</w:t>
      </w:r>
      <w:r w:rsidRPr="0046598A">
        <w:rPr>
          <w:rFonts w:ascii="Times New Roman" w:hAnsi="Times New Roman" w:cs="Times New Roman"/>
          <w:i/>
          <w:spacing w:val="7"/>
          <w:w w:val="95"/>
          <w:sz w:val="24"/>
          <w:szCs w:val="24"/>
        </w:rPr>
        <w:t xml:space="preserve"> </w:t>
      </w:r>
      <w:r w:rsidRPr="0046598A">
        <w:rPr>
          <w:rFonts w:ascii="Times New Roman" w:hAnsi="Times New Roman" w:cs="Times New Roman"/>
          <w:i/>
          <w:w w:val="95"/>
          <w:sz w:val="24"/>
          <w:szCs w:val="24"/>
        </w:rPr>
        <w:t>543,</w:t>
      </w:r>
      <w:r w:rsidRPr="0046598A">
        <w:rPr>
          <w:rFonts w:ascii="Times New Roman" w:hAnsi="Times New Roman" w:cs="Times New Roman"/>
          <w:i/>
          <w:spacing w:val="8"/>
          <w:w w:val="95"/>
          <w:sz w:val="24"/>
          <w:szCs w:val="24"/>
        </w:rPr>
        <w:t xml:space="preserve"> </w:t>
      </w:r>
      <w:r w:rsidRPr="0046598A">
        <w:rPr>
          <w:rFonts w:ascii="Times New Roman" w:hAnsi="Times New Roman" w:cs="Times New Roman"/>
          <w:i/>
          <w:w w:val="95"/>
          <w:sz w:val="24"/>
          <w:szCs w:val="24"/>
        </w:rPr>
        <w:t>datë</w:t>
      </w:r>
      <w:r w:rsidRPr="0046598A">
        <w:rPr>
          <w:rFonts w:ascii="Times New Roman" w:hAnsi="Times New Roman" w:cs="Times New Roman"/>
          <w:i/>
          <w:spacing w:val="9"/>
          <w:w w:val="95"/>
          <w:sz w:val="24"/>
          <w:szCs w:val="24"/>
        </w:rPr>
        <w:t xml:space="preserve"> </w:t>
      </w:r>
      <w:r w:rsidRPr="0046598A">
        <w:rPr>
          <w:rFonts w:ascii="Times New Roman" w:hAnsi="Times New Roman" w:cs="Times New Roman"/>
          <w:i/>
          <w:w w:val="95"/>
          <w:sz w:val="24"/>
          <w:szCs w:val="24"/>
        </w:rPr>
        <w:t>29.7.2022)</w:t>
      </w:r>
    </w:p>
    <w:p w:rsidR="0046598A" w:rsidRPr="0046598A" w:rsidRDefault="0046598A" w:rsidP="0046598A">
      <w:pPr>
        <w:jc w:val="both"/>
        <w:rPr>
          <w:rFonts w:ascii="Times New Roman" w:hAnsi="Times New Roman" w:cs="Times New Roman"/>
          <w:i/>
          <w:sz w:val="24"/>
          <w:szCs w:val="24"/>
        </w:rPr>
      </w:pPr>
      <w:proofErr w:type="gramStart"/>
      <w:r w:rsidRPr="0046598A">
        <w:rPr>
          <w:rFonts w:ascii="Times New Roman" w:hAnsi="Times New Roman" w:cs="Times New Roman"/>
          <w:sz w:val="24"/>
          <w:szCs w:val="24"/>
        </w:rPr>
        <w:t>9.1 “Zyra do të konsiderojë si ndarje të aplikimit të markës edhe rastet kur një kërkesë për</w:t>
      </w:r>
      <w:r w:rsidRPr="0046598A">
        <w:rPr>
          <w:rFonts w:ascii="Times New Roman" w:hAnsi="Times New Roman" w:cs="Times New Roman"/>
          <w:spacing w:val="1"/>
          <w:sz w:val="24"/>
          <w:szCs w:val="24"/>
        </w:rPr>
        <w:t xml:space="preserve"> </w:t>
      </w:r>
      <w:r w:rsidRPr="0046598A">
        <w:rPr>
          <w:rFonts w:ascii="Times New Roman" w:hAnsi="Times New Roman" w:cs="Times New Roman"/>
          <w:w w:val="95"/>
          <w:sz w:val="24"/>
          <w:szCs w:val="24"/>
        </w:rPr>
        <w:t>regjistrimin e markës është publikuar me më pak mallra dhe/ose shërbime sesa ka në dëshminë e</w:t>
      </w:r>
      <w:r w:rsidRPr="0046598A">
        <w:rPr>
          <w:rFonts w:ascii="Times New Roman" w:hAnsi="Times New Roman" w:cs="Times New Roman"/>
          <w:spacing w:val="1"/>
          <w:w w:val="95"/>
          <w:sz w:val="24"/>
          <w:szCs w:val="24"/>
        </w:rPr>
        <w:t xml:space="preserve"> </w:t>
      </w:r>
      <w:r w:rsidRPr="0046598A">
        <w:rPr>
          <w:rFonts w:ascii="Times New Roman" w:hAnsi="Times New Roman" w:cs="Times New Roman"/>
          <w:spacing w:val="-1"/>
          <w:sz w:val="24"/>
          <w:szCs w:val="24"/>
        </w:rPr>
        <w:t>depozitimit.</w:t>
      </w:r>
      <w:proofErr w:type="gramEnd"/>
      <w:r w:rsidRPr="0046598A">
        <w:rPr>
          <w:rFonts w:ascii="Times New Roman" w:hAnsi="Times New Roman" w:cs="Times New Roman"/>
          <w:spacing w:val="-10"/>
          <w:sz w:val="24"/>
          <w:szCs w:val="24"/>
        </w:rPr>
        <w:t xml:space="preserve"> </w:t>
      </w:r>
      <w:r w:rsidRPr="0046598A">
        <w:rPr>
          <w:rFonts w:ascii="Times New Roman" w:hAnsi="Times New Roman" w:cs="Times New Roman"/>
          <w:spacing w:val="-1"/>
          <w:sz w:val="24"/>
          <w:szCs w:val="24"/>
        </w:rPr>
        <w:t>Zyra</w:t>
      </w:r>
      <w:r w:rsidRPr="0046598A">
        <w:rPr>
          <w:rFonts w:ascii="Times New Roman" w:hAnsi="Times New Roman" w:cs="Times New Roman"/>
          <w:spacing w:val="-9"/>
          <w:sz w:val="24"/>
          <w:szCs w:val="24"/>
        </w:rPr>
        <w:t xml:space="preserve"> </w:t>
      </w:r>
      <w:r w:rsidRPr="0046598A">
        <w:rPr>
          <w:rFonts w:ascii="Times New Roman" w:hAnsi="Times New Roman" w:cs="Times New Roman"/>
          <w:spacing w:val="-1"/>
          <w:sz w:val="24"/>
          <w:szCs w:val="24"/>
        </w:rPr>
        <w:t>pas</w:t>
      </w:r>
      <w:r w:rsidRPr="0046598A">
        <w:rPr>
          <w:rFonts w:ascii="Times New Roman" w:hAnsi="Times New Roman" w:cs="Times New Roman"/>
          <w:spacing w:val="-10"/>
          <w:sz w:val="24"/>
          <w:szCs w:val="24"/>
        </w:rPr>
        <w:t xml:space="preserve"> </w:t>
      </w:r>
      <w:r w:rsidRPr="0046598A">
        <w:rPr>
          <w:rFonts w:ascii="Times New Roman" w:hAnsi="Times New Roman" w:cs="Times New Roman"/>
          <w:spacing w:val="-1"/>
          <w:sz w:val="24"/>
          <w:szCs w:val="24"/>
        </w:rPr>
        <w:t>publikimit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aplikimit</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fillestar</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me</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mallrat</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dhe/ose</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shërbimet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munguara</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buletinin</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PI-së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do</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vazhdojë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procedurat</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parashikuara</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ligj</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apo</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këtë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rregullore</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58"/>
          <w:sz w:val="24"/>
          <w:szCs w:val="24"/>
        </w:rPr>
        <w:t xml:space="preserve"> </w:t>
      </w:r>
      <w:r w:rsidRPr="0046598A">
        <w:rPr>
          <w:rFonts w:ascii="Times New Roman" w:hAnsi="Times New Roman" w:cs="Times New Roman"/>
          <w:sz w:val="24"/>
          <w:szCs w:val="24"/>
        </w:rPr>
        <w:t>regjistrimin</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saj</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gjitha</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mallrat</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dhe/ose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shërbimet</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kërkuara.</w:t>
      </w:r>
      <w:proofErr w:type="gramStart"/>
      <w:r w:rsidRPr="0046598A">
        <w:rPr>
          <w:rFonts w:ascii="Times New Roman" w:hAnsi="Times New Roman" w:cs="Times New Roman"/>
          <w:sz w:val="24"/>
          <w:szCs w:val="24"/>
        </w:rPr>
        <w:t>”;</w:t>
      </w:r>
      <w:proofErr w:type="gramEnd"/>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10. “Protokolli i Madridit”, protokolli lidhur me marrëveshjen e Madridit, miratuar më 27.6.1989, me të gjitha ndryshimet e mëvonshme;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“Zyra Ndërkombëtare”, Zyra Ndërkombëtare e OBPI-së;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“Autoriteti kompetent”, autoritet administrativ ose gjyqësor, i cili është kompetent të përcaktojë nëse një markë është e mirënjohur apo të garantojë mbrojtjen e markave të mirënjohura;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“Sisteme ndërkombëtare të ngjyrave”, sisteme të standardizuara të riprodhimit të ngjyrave të njohura botërisht, si: Pantone, Hex, RAL, RGB ose CMYK;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“Konsumatori përkatës”, konsumatori faktik që blen ose përdor mallra dhe/ose shërbime;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15. “Publiku përkatës”: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a) Konsumatorët faktikë/përkatës ose potencialë që faktikisht blejnë/përdorin ose do të blejnë/përdorin në të ardhmen mallra/shërbime;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b) Për vlerësimin e mundësisë së shkaktimit të konfuzionit, publiku përkatës përbëhet nga konsumatorët që kanë mundësi të përdorin mallrat dhe shërbimet e mbuluara nga marka e mëparshme, ashtu si dhe produktet e mbuluara nga marka e aplikuar për to kur ato konsiderohen si identike ose të ngjashme;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c) Personat e përfshirë në rrugët/kanalet e shpërndarjes së mallrave dhe/ose shërbimeve për të cilat mbrohet marka;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16. “Rekomandimi i përbashkët”, rekomandimi i përbashkët në lidhje me dispozitat për mbrojtjen e markave të mirënjohura, miratuar nga Asambleja e Unionit të Parisit “Për mbrojtjen e pronësisë industriale” dhe Asambleja e Përgjithshme e OBPI-së;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17. “Dhoma e Kundërshtimeve”, Dhoma për Shqyrtimin e Kundërshtimeve.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KREU II</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APLIKIMI PËR REGJISTRIMIN E NJË MARKE</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3</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Përmbajtja e kërkesës</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 Të drejtën për të aplikuar për markë në DPPI e ka çdo person.</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Aplikimi për regjistrimin e markës përmban: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 Formularin e aplikimit për regjistrimin kombëtar të markës, që i bashkëlidhet kësaj rregulloreje, me të dhënat e mëposhtme: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2.1.1 Emrin dhe adresën e aplikantit, sipas nenit 62 të kësaj rregulloreje;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2.1.2 Emrin dhe adresën e përfaqësuesit të autorizuar, sipas nenit 62 të kësaj rregulloreje, nëse kërkesa depozitohet nga një përfaqësues;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2.1.3 Listën e mallrave dhe/ose shërbimeve, sipas nenit 13 të kësaj rregulloreje;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2.1.4 Të dhëna në lidhje me prioritetin, në rast se aplikanti pretendon për prioritet, në përputhje me nenet 147 e 148 të ligjit;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2.1.5 Përfaqësimin (pamja) e markës që kërkohet të regjistrohet, në përputhje me nenet 4, 5, 6, 7, 8, 9 e 10 të kësaj rregulloreje;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2.1.6 Deklaratën për përjashtimin nga mbrojtja të elementeve të markës që nuk mund të mbrohen sipas nenit 142, të ligjit nr. 9947;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2.1.7 Një tregues që përcakton llojin e markës që kërkohet të regjistrohet: markën fjalë, markën figurë, markën e pozicionit, markë me elemente përsëritëse, markë formë, markë ngjyrë ose një lloj marke tjetër;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2.1.8 Konvertimin e shkronjave dhe/ose numrave të markës, nëse marka përmban elemente të shkruara në karaktere të ndryshme nga shkronjat latine ose numra të ndryshëm nga ata arabë ose romakë;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2.1.9 Një tregues që përcakton kategorinë e markës që kërkohet të regjistrohet: markën individuale, markën kolektive ose markën certifikuese; </w:t>
      </w:r>
    </w:p>
    <w:p w:rsidR="009A47D1"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2.1.10 Përshkrimin e markës, kur kjo nuk është markë fjalë dhe përkthimin e markës në shqip, kur ajo është në gjuhë të huaj dhe ka një kuptim të caktuar.</w:t>
      </w:r>
      <w:proofErr w:type="gramEnd"/>
      <w:r w:rsidRPr="0046598A">
        <w:rPr>
          <w:rFonts w:ascii="Times New Roman" w:hAnsi="Times New Roman" w:cs="Times New Roman"/>
          <w:sz w:val="24"/>
          <w:szCs w:val="24"/>
        </w:rPr>
        <w:t xml:space="preserve"> </w:t>
      </w:r>
    </w:p>
    <w:p w:rsidR="009A47D1"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2.1.11 Nënshkrimin e aplikantit ose të përfaqësuesit të tij.</w:t>
      </w:r>
      <w:proofErr w:type="gramEnd"/>
      <w:r w:rsidRPr="0046598A">
        <w:rPr>
          <w:rFonts w:ascii="Times New Roman" w:hAnsi="Times New Roman" w:cs="Times New Roman"/>
          <w:sz w:val="24"/>
          <w:szCs w:val="24"/>
        </w:rPr>
        <w:t xml:space="preserv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2.2 Pagesën e tarifës së aplikimit;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2.3 Autorizimin e përfaqësimit, nëse aplikimi depozitohet nga përfaqësuesi.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2.4 Rregulloren e përdorimit të markës kolektive ose certifikuese, në përputhje me pikën 4, të nenit 165 dhe pikën 3, të nenit 166 të ligjit, kur kërkohet regjistrimi i një marke kolektive apo certifikuese.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4</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Markat fjalë</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Në rast se marka tregtare përbëhet ekskluzivisht nga fjalë apo shkronja, numra, karaktere tipografike, standarde të tjera ose nga një kombinim i tyre, marka do të konsiderohet si një markë fjalë.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Marka fjalë do të përfaqësohet nëpërmjet paraqitjes së një riprodhimi të shenjës në shkronja standarde, pa asnjë ngjyrë apo paraqitje grafike.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Marka fjalë do të jetë e shtypur ose e printuar në hapësirën përkatëse të formularit të aplikimit të rezervuar për këtë qëllim.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4. Marka që konsiston në një tekst me paraqitje jostandarde, për shembull, e shkruar në më shumë se një rresht, nuk do të kategorizohet si një markë fjalë, pasi këto marka konsiderohen marka figurë.</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5</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Markat figurë</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Në rast se marka tregtare përbëhet nga karaktere jostandarde, stilizime, paraqitje grafike, me ngjyra, elemente figurative ose një kombinim të elementeve fjalë dhe figurative, marka do të konsiderohet si markë figurë.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Marka figurë do të përfaqësohet nëpërmjet paraqitjes së një riprodhimi të shenjës që tregon të gjitha elementet e saj dhe, kur është e mundur, edhe ngjyrat e saj. Marka figurë do të paraqitet në hapësirën përkatëse të formularit të aplikimit të rezervuar për këtë qëllim.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Nëse regjistrimi i markës është kërkuar në ngjyra, aplikimi do të përmbajë një prezantim të markës me ngjyra. </w:t>
      </w:r>
      <w:proofErr w:type="gramStart"/>
      <w:r w:rsidRPr="0046598A">
        <w:rPr>
          <w:rFonts w:ascii="Times New Roman" w:hAnsi="Times New Roman" w:cs="Times New Roman"/>
          <w:sz w:val="24"/>
          <w:szCs w:val="24"/>
        </w:rPr>
        <w:t>Nëse regjistrimi i markës nuk është kërkuar me ngjyra, marka duhet të shfaqet bardhezi në të gjitha dokumentet, në bazën e të dhënave dhe në buletinin e zyrtar.</w:t>
      </w:r>
      <w:proofErr w:type="gramEnd"/>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Në regjistrin e markave që mbahet nga zyra, në publikime, në vendimin për regjistrimin e markës dhe në certifikatën e regjistrimit të markës, marka me ngjyra do të përfaqësohet në cilësinë teknike më të mirë të mundshme nga zyra. </w:t>
      </w:r>
      <w:proofErr w:type="gramStart"/>
      <w:r w:rsidRPr="0046598A">
        <w:rPr>
          <w:rFonts w:ascii="Times New Roman" w:hAnsi="Times New Roman" w:cs="Times New Roman"/>
          <w:sz w:val="24"/>
          <w:szCs w:val="24"/>
        </w:rPr>
        <w:t>Në rast të ndonjë mosmarrëveshjeje në lidhje me nuancat dhe hijet e ngjyrave në të cilat marka riprodhohet, përfaqësimi i markës përcaktohet sipas përfaqësimit origjinal të markës në formularin e aplikimit.</w:t>
      </w:r>
      <w:proofErr w:type="gramEnd"/>
      <w:r w:rsidRPr="0046598A">
        <w:rPr>
          <w:rFonts w:ascii="Times New Roman" w:hAnsi="Times New Roman" w:cs="Times New Roman"/>
          <w:sz w:val="24"/>
          <w:szCs w:val="24"/>
        </w:rPr>
        <w:t xml:space="preserve"> </w:t>
      </w:r>
    </w:p>
    <w:p w:rsidR="009A47D1"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5. Për sa</w:t>
      </w:r>
      <w:proofErr w:type="gramEnd"/>
      <w:r w:rsidRPr="0046598A">
        <w:rPr>
          <w:rFonts w:ascii="Times New Roman" w:hAnsi="Times New Roman" w:cs="Times New Roman"/>
          <w:sz w:val="24"/>
          <w:szCs w:val="24"/>
        </w:rPr>
        <w:t xml:space="preserve"> i takon pozicionimit të markës në hapësirën e ofruar për këtë qëllim në formular, pozicioni korrekt do të përcaktohet nga pozicioni i markës në formularin e aplikimit.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6</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Markat formë</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Në rast se marka tregtare përbëhet nga ose tregon një formë tredimensionale, duke përfshirë kuti, paketime, vetë produktin ose pamjen e tyre, marka tregtare do të konsiderohet si markë formë.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Marka formë do të përfaqësohet nëpërmjet paraqitjes së riprodhimit grafik të formës, duke përfshirë imazhe të gjeneruara nga kompjuteri ose një riprodhim fotografik.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Riprodhimi grafik ose fotografik mund të përmbajë disa pamje të ndryshme të markës.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 rast se marka formë është një markë tredimensionale, pamja e markës duhet të tregojë qartësisht karakteristikat e saj tredimensionale.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Kur pamja e markës tredimensionale është vizatim, riprodhimi duhet të bëhet në vija të zeza uniforme dhe të qarta. </w:t>
      </w:r>
      <w:proofErr w:type="gramStart"/>
      <w:r w:rsidRPr="0046598A">
        <w:rPr>
          <w:rFonts w:ascii="Times New Roman" w:hAnsi="Times New Roman" w:cs="Times New Roman"/>
          <w:sz w:val="24"/>
          <w:szCs w:val="24"/>
        </w:rPr>
        <w:t>Vizatimi mund të përmbajë vijëzime dhe hije për të përfaqësuar më mirë detajet.</w:t>
      </w:r>
      <w:proofErr w:type="gramEnd"/>
      <w:r w:rsidRPr="0046598A">
        <w:rPr>
          <w:rFonts w:ascii="Times New Roman" w:hAnsi="Times New Roman" w:cs="Times New Roman"/>
          <w:sz w:val="24"/>
          <w:szCs w:val="24"/>
        </w:rPr>
        <w:t xml:space="preserve">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7</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Markat e pozicionit</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Marka e pozicionit tregon mënyrën specifike sipas së cilës marka vendoset ose ngjitet në produkte përkatëse.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 Marka e pozicionit do të përfaqësohet nëpërmjet paraqitjes së një riprodhimi, i cili identifikon në mënyrë të përshtatshme pozicionin e markës dhe madhësinë ose përmasat e saj në lidhje me mallrat përkatëse.</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 Elementet që nuk janë pjesë e objektit të regjistrimit do të përjashtohen nga mbrojtja në mënyrë vizuale (të dukshme), duke i paraqitur ato me vija të ndërprera ose të pikëzuara.</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Përshkrimi i markës duhet të përcaktojë se si marka ngjitet në mallrat përkatëse, por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përshkrim nuk duhet të shërbejë si arsye për mosparaqitjen vizualisht të pamjes së markës. </w:t>
      </w:r>
      <w:proofErr w:type="gramStart"/>
      <w:r w:rsidRPr="0046598A">
        <w:rPr>
          <w:rFonts w:ascii="Times New Roman" w:hAnsi="Times New Roman" w:cs="Times New Roman"/>
          <w:sz w:val="24"/>
          <w:szCs w:val="24"/>
        </w:rPr>
        <w:lastRenderedPageBreak/>
        <w:t>Përfaqësimi i markës mund të shoqërohet edhe me një përshkrim që tregon në mënyrë të detajuar se si bashkëngjitet shenja në produktet përkatëse.</w:t>
      </w:r>
      <w:proofErr w:type="gramEnd"/>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8</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Markat me elemente përsëritëse</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Marka me elemente të përsëritura përbëhet ekskluzivisht nga një grup elementesh që përsëriten në mënyrë të rregullt.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Marka me elemente të përsëritura do të përfaqësohet nëpërmjet paraqitjes së një riprodhimi që tregon modelin e përsëritjes. </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Përfaqësimi i markës mund të shoqërohet edhe me një përshkrim që tregon në mënyrë të detajuar se si përsëriten rregullisht elementet e markës. </w:t>
      </w:r>
    </w:p>
    <w:p w:rsidR="009A47D1" w:rsidRPr="0046598A" w:rsidRDefault="009A47D1" w:rsidP="009A47D1">
      <w:pPr>
        <w:jc w:val="center"/>
        <w:rPr>
          <w:rFonts w:ascii="Times New Roman" w:hAnsi="Times New Roman" w:cs="Times New Roman"/>
          <w:sz w:val="24"/>
          <w:szCs w:val="24"/>
        </w:rPr>
      </w:pPr>
      <w:r w:rsidRPr="0046598A">
        <w:rPr>
          <w:rFonts w:ascii="Times New Roman" w:hAnsi="Times New Roman" w:cs="Times New Roman"/>
          <w:sz w:val="24"/>
          <w:szCs w:val="24"/>
        </w:rPr>
        <w:t>Neni 9</w:t>
      </w:r>
    </w:p>
    <w:p w:rsidR="009A47D1" w:rsidRPr="0046598A" w:rsidRDefault="009A47D1" w:rsidP="009A47D1">
      <w:pPr>
        <w:jc w:val="center"/>
        <w:rPr>
          <w:rFonts w:ascii="Times New Roman" w:hAnsi="Times New Roman" w:cs="Times New Roman"/>
          <w:b/>
          <w:sz w:val="24"/>
          <w:szCs w:val="24"/>
        </w:rPr>
      </w:pPr>
      <w:r w:rsidRPr="0046598A">
        <w:rPr>
          <w:rFonts w:ascii="Times New Roman" w:hAnsi="Times New Roman" w:cs="Times New Roman"/>
          <w:b/>
          <w:sz w:val="24"/>
          <w:szCs w:val="24"/>
        </w:rPr>
        <w:t>Markat që konsistojnë në një ngjyrë apo kombinim ngjyrash</w:t>
      </w:r>
    </w:p>
    <w:p w:rsidR="009A47D1"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Nëse në aplikim është kërkuar regjistrimi i një marke, e cila konsiston në një ngjyrë ose kombinim ngjyrash, ngjyrat mund të listohen dhe të përshkruhen në aplikim së bashku me kodin përkatës të ngjyrave nga sistemet ndërkombëtare të ngjyrave, si: Pantone, Hex, RAL, RGB ose CMYK.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Kur kodet e ngjyrave janë dukshëm të ndryshme nga ngjyrat e përfaqësuara në pamjen e markës, zyra njofton aplikantin. </w:t>
      </w:r>
      <w:proofErr w:type="gramStart"/>
      <w:r w:rsidRPr="0046598A">
        <w:rPr>
          <w:rFonts w:ascii="Times New Roman" w:hAnsi="Times New Roman" w:cs="Times New Roman"/>
          <w:sz w:val="24"/>
          <w:szCs w:val="24"/>
        </w:rPr>
        <w:t>Nëse aplikanti nuk i përgjigjet njoftimit të zyrës ose edhe pas përgjigjes kodet e përcaktuara prej tij janë përsëri dukshëm të ndryshme nga ngjyrat e përfaqësuara në pamjen e markës, zyra nuk i merr ato në konsideratë dhe njofton aplikantin për vendimin e marrë.</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Nëse në aplikim është kërkuar regjistrimi i një marke, e cila konsiston në kombinim ngjyrash, riprodhimi duhet gjithashtu të tregojë rregullimin sistematik të kombinimit të ngjyrave në një mënyrë uniforme dhe të përcaktuar, së bashku me përcaktimin e këtyre ngjyrave sipas kodit përkatës të ngjyrave në përputhje me sistemet ndërkombëtare të ngjyrave. </w:t>
      </w:r>
      <w:proofErr w:type="gramStart"/>
      <w:r w:rsidRPr="0046598A">
        <w:rPr>
          <w:rFonts w:ascii="Times New Roman" w:hAnsi="Times New Roman" w:cs="Times New Roman"/>
          <w:sz w:val="24"/>
          <w:szCs w:val="24"/>
        </w:rPr>
        <w:t>Kërkesa për regjistrim marke mund të përmbajë gjithashtu një përshkrim të detajuar të rregullimit sistematik të ngjyrave.</w:t>
      </w:r>
      <w:proofErr w:type="gramEnd"/>
      <w:r w:rsidRPr="0046598A">
        <w:rPr>
          <w:rFonts w:ascii="Times New Roman" w:hAnsi="Times New Roman" w:cs="Times New Roman"/>
          <w:sz w:val="24"/>
          <w:szCs w:val="24"/>
        </w:rPr>
        <w:t xml:space="preserve">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10</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Llojet e tjera të markave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Nëse në aplikim është kërkuar regjistrimi i një lloji tjetër marke, ai duhet të citohet në formularin e aplikimit.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 varësi të llojit të markës për të cilin është kërkuar regjistrimi në aplikim, aplikimi duhet të shoqërohet me paraqitjen grafike të markës, e cila duhet të jetë e qartë, e saktë, lehtësisht e disponueshme, e qëndrueshme dhe objektive.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11</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lastRenderedPageBreak/>
        <w:t>Korrigjimi i llojit të markës</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Nëse lloji i markës së treguar në kërkesën për regjistrim marke nuk përputhet me përfaqësimin (pamjen) e depozituar, ose në rast se asnjë lloj marke nuk është përcaktuar nga aplikanti në kërkesë dhe nëse rezulton qartësisht se cili është lloji i markës që aplikanti kërkon të regjistrojë, zyra do të korrigjojë llojin e markës dhe do të njoftojë me shkrim aplikantin.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Aplikanti duhet të paraqesë shpjegimet/ dokumentet e tij shtesë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afati 3-mujor nga data e marrjes së njoftimit.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Nëse aplikanti nuk i përgjigjet njoftimit të zyrës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ligjor të lartpërmendur, korrigjimi i bërë nga zyra do të konsiderohet se është pranuar nga aplikanti.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Nëse aplikanti nuk është dakord me ndryshimin, zyra do të rivendosë llojin e markës ashtu siç është përcaktuar fillimisht nga aplikanti në momentin e depozitimit të kërkesës për regjistrim. </w:t>
      </w:r>
      <w:proofErr w:type="gramStart"/>
      <w:r w:rsidRPr="0046598A">
        <w:rPr>
          <w:rFonts w:ascii="Times New Roman" w:hAnsi="Times New Roman" w:cs="Times New Roman"/>
          <w:sz w:val="24"/>
          <w:szCs w:val="24"/>
        </w:rPr>
        <w:t>Megjithatë, kërkesa për regjistrim marke mund të refuzohet më pas në rast se natyra (lloji) e markës nuk është e qartë.</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Nëse lloji i markës së treguar në kërkesën për regjistrim marke nuk përputhet me përfaqësimin (pamjen) e depozituar ose në rast se asnjë lloj marke nuk është përcaktuar nga aplikanti në kërkesë, dhe nëse nuk rezulton qartësisht se cili është lloji i markës që aplikanti kërkon të regjistrojë, zyra do të nxjerrë një njoftim për plotësim të parregullsive.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Aplikanti duhet të plotësojë parregullsitë e kërkuara në njoftimin e lëshuar nga zyra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afati 3-mujor nga data e marrjes së njoftimit. Nëse parregullsitë e njoftimit të lëshuar nga zyra nuk plotësohen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ligjor të lartpërmendur, kërkesa për regjistrim marke do të refuzohet.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Nëse përshkrimi i markës nuk përputhet me përfaqësimin e markës, zyra do t’i kërkojë aplikantit që të fshijë ose të ndryshojë përshkrimin e markës. </w:t>
      </w:r>
      <w:proofErr w:type="gramStart"/>
      <w:r w:rsidRPr="0046598A">
        <w:rPr>
          <w:rFonts w:ascii="Times New Roman" w:hAnsi="Times New Roman" w:cs="Times New Roman"/>
          <w:sz w:val="24"/>
          <w:szCs w:val="24"/>
        </w:rPr>
        <w:t>Përfaqësimi i markës nuk mund të ndryshojë për të qenë në përputhje me përshkrimin e markës.</w:t>
      </w:r>
      <w:proofErr w:type="gramEnd"/>
      <w:r w:rsidRPr="0046598A">
        <w:rPr>
          <w:rFonts w:ascii="Times New Roman" w:hAnsi="Times New Roman" w:cs="Times New Roman"/>
          <w:sz w:val="24"/>
          <w:szCs w:val="24"/>
        </w:rPr>
        <w:t xml:space="preserve">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12</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Kërkesa të tjera në lidhje me riprodhimin e markës</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Riprodhimi i markës duhet të jetë i një cilësie, forme dhe ngjyre, që lejon elementet e markës të jenë qartësisht të dallueshme në çdo detaj të tyre. </w:t>
      </w:r>
      <w:proofErr w:type="gramStart"/>
      <w:r w:rsidRPr="0046598A">
        <w:rPr>
          <w:rFonts w:ascii="Times New Roman" w:hAnsi="Times New Roman" w:cs="Times New Roman"/>
          <w:sz w:val="24"/>
          <w:szCs w:val="24"/>
        </w:rPr>
        <w:t>Përfaqësimi i markës nuk duhet të jetë i mbikopjuar, si dhe duhet të jetë i pastër nga fshirjet dhe mbingjyrimet.</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Përfaqësimi i markës duhet të përfshihet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hapësirës së rezervuar për këtë qëllim në formularin e aplikimit (kuadrat i përmasave 8 x 8 cm) dhe distanca ndërmjet dy pikave më të largëta horizontale, vertikale dhe diagonale të markës nuk duhet të jetë më pak se 1.5 cm.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Aplikimi nuk duhet të shoqërohet me mostra apo objekte në të cilat do të përdoret marka që kërkohet të regjistrohet. </w:t>
      </w:r>
      <w:proofErr w:type="gramStart"/>
      <w:r w:rsidRPr="0046598A">
        <w:rPr>
          <w:rFonts w:ascii="Times New Roman" w:hAnsi="Times New Roman" w:cs="Times New Roman"/>
          <w:sz w:val="24"/>
          <w:szCs w:val="24"/>
        </w:rPr>
        <w:t>Nëse depozitohen mostra ose objekte të tilla, ato i kthehen aplikantit, dhe, në rast se kthimi i tyre nuk është i mundur, ato duhet të shkatërrohen me shpenzimet e aplikantit përpara publikimit të aplikimit të regjistrimit të markës.</w:t>
      </w:r>
      <w:proofErr w:type="gramEnd"/>
      <w:r w:rsidRPr="0046598A">
        <w:rPr>
          <w:rFonts w:ascii="Times New Roman" w:hAnsi="Times New Roman" w:cs="Times New Roman"/>
          <w:sz w:val="24"/>
          <w:szCs w:val="24"/>
        </w:rPr>
        <w:t xml:space="preserve">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lastRenderedPageBreak/>
        <w:t>Neni 13</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Lista e mallrave ose shërbimeve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Mallrat dhe/ose shërbimet duhet të paraqiten me qartësi dhe saktësi të mjaftueshme në mënyrë që autoritetet kompetente dhe operatorët ekonomikë të kuptojnë qëllimin e mbrojtjes së kërkuar.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Një përshkrim i listës së mallrave dhe/ose shërbimeve është mjaftueshëm i qartë dhe i saktë kur qëllimi i saj mund të kuptohet nga kuptimi i saj normal dhe i zakonshëm. </w:t>
      </w:r>
      <w:proofErr w:type="gramStart"/>
      <w:r w:rsidRPr="0046598A">
        <w:rPr>
          <w:rFonts w:ascii="Times New Roman" w:hAnsi="Times New Roman" w:cs="Times New Roman"/>
          <w:sz w:val="24"/>
          <w:szCs w:val="24"/>
        </w:rPr>
        <w:t>Nëse përdoren terma të përfshirë në titujt e klasave të klasifikimit të Nicës ose terma të tjerë të përgjithshëm, këto duhet të përmbushin kushtet e qartësisë dhe saktësisë të përcaktuara në këtë paragraf.</w:t>
      </w:r>
      <w:proofErr w:type="gramEnd"/>
      <w:r w:rsidRPr="0046598A">
        <w:rPr>
          <w:rFonts w:ascii="Times New Roman" w:hAnsi="Times New Roman" w:cs="Times New Roman"/>
          <w:sz w:val="24"/>
          <w:szCs w:val="24"/>
        </w:rPr>
        <w:t xml:space="preserve"> Përdorimi i termave të përgjithshëm, duke përfshirë treguesit e përgjithshëm të titujve të klasave të klasifikimit të Nicës, do të interpretohet se përfshin të gjitha mallrat ose shërbimet e mbuluara në mënyrë të qartë nga kuptimi literal i treguesit ose termit të përgjithshëm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kontekstit të klasës së aplikuar.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Mallrat dhe/ose shërbimet duhet të listohen saktësisht dhe të grupohen në përputhje me klasat e klasifikimit të Nicës. </w:t>
      </w:r>
      <w:proofErr w:type="gramStart"/>
      <w:r w:rsidRPr="0046598A">
        <w:rPr>
          <w:rFonts w:ascii="Times New Roman" w:hAnsi="Times New Roman" w:cs="Times New Roman"/>
          <w:sz w:val="24"/>
          <w:szCs w:val="24"/>
        </w:rPr>
        <w:t>Numri i klasës duhet të paraprijë çdo klasë në përputhje me klasifikimin e Nicës.</w:t>
      </w:r>
      <w:proofErr w:type="gramEnd"/>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Një term (mall ose shërbim) mund të jetë pjesë e përshkrimit të mallrave dhe shërbimeve në disa klasa të ndryshme.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term duhet të jetë i qartë dhe i saktë në një klasë të veçantë pa specifikime të mëtejshme, nëse kuptimi i tij normal e i zakonshëm dhe numri i klasës nuk lënë dyshime për sa i përket qëllimit të mbrojtjes.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Në rast se qëllimi i mbrojtjes nuk mund të kuptohet, qartësia dhe saktësia e mjaftueshme e termit (mall/shërbim) mund të arrihet nëpërmjet identifikimit të faktorëve të tillë, si: karakteristikat, qëllimi dhe/ose sektori i identifikueshëm i tregut.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Klasifikimi i mallrave dhe/ose shërbimeve duhet të shërbejë ekskluzivisht për qëllime administrative dhe mallrat ose shërbimet nuk mund të konsiderohen si të ngjashme vetëm për faktin që ato shfaqen në të njëjtën klasë sipas klasifikimit të Nicës. Mallrat ose shërbimet nuk do të konsiderohen si të ndryshme vetëm për faktin që ato shfaqen në klasa të ndryshme sipas klasifikimit të Nicës.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Zyra njofton aplikantin nëse ka mallra dhe/ose shërbime që nuk janë mjaftueshëm të sakta dhe të qarta, duke i kërkuar atij që të paraqesë shpjegimet ose saktësimet/specifikimet përkatëse të tyre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periudhe 3-mujore nga data e marrjes së njoftimit.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Zyra refuzon aplikimin në lidhje me ato mallra dhe/ose shërbime, të cilat nuk janë mjaftueshëm të sakta dhe të qarta dhe kur aplikanti nuk paraqet shpjegime ose saktësime të përshtatshme sipas këtij neni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periudhës 3- mujore.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14</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Kufizimi i listës së mallrave dhe/ose shërbimeve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Kërkesa për kufizimin e listës së mallrave dhe /ose shërbimeve përmban: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 </w:t>
      </w:r>
      <w:proofErr w:type="gramStart"/>
      <w:r w:rsidRPr="0046598A">
        <w:rPr>
          <w:rFonts w:ascii="Times New Roman" w:hAnsi="Times New Roman" w:cs="Times New Roman"/>
          <w:sz w:val="24"/>
          <w:szCs w:val="24"/>
        </w:rPr>
        <w:t>formularin</w:t>
      </w:r>
      <w:proofErr w:type="gramEnd"/>
      <w:r w:rsidRPr="0046598A">
        <w:rPr>
          <w:rFonts w:ascii="Times New Roman" w:hAnsi="Times New Roman" w:cs="Times New Roman"/>
          <w:sz w:val="24"/>
          <w:szCs w:val="24"/>
        </w:rPr>
        <w:t xml:space="preserve"> e aplikimit për kufizimin e listës së mallrave dhe/ose shërbimeve, bashkëngjitur kësaj rregulloreje, me të dhënat e mëposhtme: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Numrin e aplikimit për regjistrimin e markës ose numrin e regjistrimit të markës;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Emrin dhe adresën e aplikantit ose të pronarit të markës, në përputhje me nenin 62 të kësaj rregulloreje;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Emrin dhe adresën e përfaqësuesit të autorizuar, nëse kërkesa paraqitet nga një përfaqësues, sipas nenit 62 të kësaj rregulloreje;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Listën e kufizuar të mallrave dhe/ose të shërbimeve, në përputhje me nenin 13 të kësaj rregulloreje.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Pagesën e tarifës përkatëse.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Autorizimin e përfaqësimit, nëse kërkesa paraqitet nga një përfaqësues.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15</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Ndarja e aplikimit fillestar të një marke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Kërkesa për ndarjen e aplikimit fillestar për regjistrim marke përmban: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Formularin e aplikimit për ndarjen e aplikimit fillestar për regjistrim marke, që i bashkëlidhet kësaj rregulloreje, me të dhënat e mëposhtme: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numrin e aplikimit të markës;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emrin dhe adresën e aplikantit;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emrin dhe adresën e përfaqësuesit të autorizuar, nëse kërkesa për ndarje paraqitet nga një përfaqësues;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listën e mallrave dhe/ose shërbimeve që përfshihen në aplikimin e ndarë;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1.5) nënshkrimin e aplikantit ose të përfaqësuesit, nëse kërkesa për ndarje depozitohet nga një përfaqësues;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Pagesën e tarifës përkatëse;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Autorizimin e përfaqësimit, nëse kërkesa për ndarje depozitohet nga një përfaqësues.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 Për çdo ndarje të aplikimit fillestar për regjistrim marke duhet të depozitohet një kërkesë e veçantë.</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 Lista e mallrave dhe/ose shërbimeve të një aplikimi të ndarë dhe lista e mallrave dhe/ose shërbimeve që mbeten në aplikimin fillestar, të marra së bashku, duhet të jenë identike me listën e mallrave dhe/ose shërbimeve të aplikimit fillestar në kohën kur është depozituar kërkesa për ndarjen e aplikimit fillestar. Kur kërkesa për ndarje ka të bëjë me mallra dhe/ose shërbime që i referohen një termi të përgjithshëm të klasifikimit të tyre, ky term i përgjithshëm do të përdoret si në pjesën e mbetur të aplikimit fillestar, ashtu edhe në aplikimin e ndarë dhe do të kufizohet </w:t>
      </w:r>
      <w:r w:rsidRPr="0046598A">
        <w:rPr>
          <w:rFonts w:ascii="Times New Roman" w:hAnsi="Times New Roman" w:cs="Times New Roman"/>
          <w:sz w:val="24"/>
          <w:szCs w:val="24"/>
        </w:rPr>
        <w:lastRenderedPageBreak/>
        <w:t xml:space="preserve">me shtesa të përshtatshme për të shmangur mbivendosjen e listës së mallrave dhe/ose shërbimeve.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Kur një kërkesë nuk plotëson kushtet e parashikuara në pikat 1, 2 e 3 të këtij neni, zyra njofton aplikantin që të plotësojë të metat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2 muajve nga data e marrjes së njoftimit. Nëse aplikanti nuk plotëson të metat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këtij afati, kërkesa për ndarjen e aplikimit refuzohet. </w:t>
      </w:r>
      <w:proofErr w:type="gramStart"/>
      <w:r w:rsidRPr="0046598A">
        <w:rPr>
          <w:rFonts w:ascii="Times New Roman" w:hAnsi="Times New Roman" w:cs="Times New Roman"/>
          <w:sz w:val="24"/>
          <w:szCs w:val="24"/>
        </w:rPr>
        <w:t>Ndarja e aplikimit fillestar i fillon efektet nga data e regjistrimit në dosje nga zyra në lidhje me aplikimin fillestar.</w:t>
      </w:r>
      <w:proofErr w:type="gramEnd"/>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5. Një kopje e plotë e dokumenteve të aplikimit fillestar duhet të bëhet pjesë e dokumenteve të aplikimit të ndarë dhe një kopje e kërkesës për ndarje duhet të bëhet pjesë e dokumenteve të aplikimit fillestar.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Të gjitha kërkesat e paraqitura dhe tarifat e paguara në lidhje me aplikimin fillestar përpara datës së depozitimit të kërkesës për ndarje të aplikimit fillestar do të konsiderohen se janë paraqitur dhe paguar edhe për kërkesën ose kërkesat për ndarje. Tarifat për aplikimin fillestar, që janë paguar përpara datës së depozitimit të kërkesës për ndarje të aplikimit fillestar, nuk do të rimbursohen.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7. Përfaqësuesi i autorizuar i caktuar në aplikimin fillestar do të konsiderohet si i tillë edhe në aplikimin e ndarë, përveç rastit kur aplikanti e ka revokuar si përfaqësues.</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8. Kërkesa për ndarjen e aplikimit fillestar për regjistrim marke nuk do të pranohet nëse: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8.1 është depozituar kërkesë për kundërshtim ndaj aplikimit fillestar; Një ndarje e tillë ka efekt tek ato mallra dhe/ose shërbime kundër të cilave drejtohet kundërshtimi, deri në momentin e marrjes së një vendimi të formës së prerë ose të zgjidhjes së mosmarrëveshjes përfundimisht me mirëkuptim midis palëve;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8.2 aplikimi fillestar nuk ka marrë datë depozitimi nga zyra; </w:t>
      </w:r>
    </w:p>
    <w:p w:rsidR="00B14C42"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8.3 depozitohet gjatë periudhës tremujore të publikimit në buletinin zyrtar.</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9. Aplikimit të ndarë i caktohet një numër i </w:t>
      </w:r>
      <w:proofErr w:type="gramStart"/>
      <w:r w:rsidRPr="0046598A">
        <w:rPr>
          <w:rFonts w:ascii="Times New Roman" w:hAnsi="Times New Roman" w:cs="Times New Roman"/>
          <w:sz w:val="24"/>
          <w:szCs w:val="24"/>
        </w:rPr>
        <w:t>ri</w:t>
      </w:r>
      <w:proofErr w:type="gramEnd"/>
      <w:r w:rsidRPr="0046598A">
        <w:rPr>
          <w:rFonts w:ascii="Times New Roman" w:hAnsi="Times New Roman" w:cs="Times New Roman"/>
          <w:sz w:val="24"/>
          <w:szCs w:val="24"/>
        </w:rPr>
        <w:t xml:space="preserve"> aplikimi. Aplikimi i ndarë do të ruajë të njëjtën datë depozitimi ose prioriteti me aplikimin fillestar.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10. Ndarja e aplikimit fillestar për regjistrim marke do të publikohet në buletinin zyrtar. </w:t>
      </w:r>
      <w:proofErr w:type="gramStart"/>
      <w:r w:rsidRPr="0046598A">
        <w:rPr>
          <w:rFonts w:ascii="Times New Roman" w:hAnsi="Times New Roman" w:cs="Times New Roman"/>
          <w:sz w:val="24"/>
          <w:szCs w:val="24"/>
        </w:rPr>
        <w:t>Publikimi i ndarjes së aplikimit nuk fillon periudhë të re kundërshtimi.</w:t>
      </w:r>
      <w:proofErr w:type="gramEnd"/>
      <w:r w:rsidRPr="0046598A">
        <w:rPr>
          <w:rFonts w:ascii="Times New Roman" w:hAnsi="Times New Roman" w:cs="Times New Roman"/>
          <w:sz w:val="24"/>
          <w:szCs w:val="24"/>
        </w:rPr>
        <w:t xml:space="preserve"> </w:t>
      </w:r>
    </w:p>
    <w:p w:rsidR="0046598A" w:rsidRPr="0046598A" w:rsidRDefault="0046598A">
      <w:pPr>
        <w:rPr>
          <w:rFonts w:ascii="Times New Roman" w:hAnsi="Times New Roman" w:cs="Times New Roman"/>
          <w:sz w:val="24"/>
          <w:szCs w:val="24"/>
        </w:rPr>
      </w:pPr>
    </w:p>
    <w:p w:rsidR="0046598A" w:rsidRPr="0046598A" w:rsidRDefault="0046598A" w:rsidP="0046598A">
      <w:pPr>
        <w:rPr>
          <w:rFonts w:ascii="Times New Roman" w:hAnsi="Times New Roman" w:cs="Times New Roman"/>
          <w:i/>
          <w:w w:val="95"/>
          <w:sz w:val="24"/>
          <w:szCs w:val="24"/>
        </w:rPr>
      </w:pPr>
      <w:r w:rsidRPr="0046598A">
        <w:rPr>
          <w:rFonts w:ascii="Times New Roman" w:hAnsi="Times New Roman" w:cs="Times New Roman"/>
          <w:i/>
          <w:spacing w:val="-1"/>
          <w:sz w:val="24"/>
          <w:szCs w:val="24"/>
        </w:rPr>
        <w:t>(Pas</w:t>
      </w:r>
      <w:r w:rsidRPr="0046598A">
        <w:rPr>
          <w:rFonts w:ascii="Times New Roman" w:hAnsi="Times New Roman" w:cs="Times New Roman"/>
          <w:i/>
          <w:spacing w:val="-13"/>
          <w:sz w:val="24"/>
          <w:szCs w:val="24"/>
        </w:rPr>
        <w:t xml:space="preserve"> </w:t>
      </w:r>
      <w:r w:rsidRPr="0046598A">
        <w:rPr>
          <w:rFonts w:ascii="Times New Roman" w:hAnsi="Times New Roman" w:cs="Times New Roman"/>
          <w:i/>
          <w:spacing w:val="-1"/>
          <w:sz w:val="24"/>
          <w:szCs w:val="24"/>
        </w:rPr>
        <w:t>nenit</w:t>
      </w:r>
      <w:r w:rsidRPr="0046598A">
        <w:rPr>
          <w:rFonts w:ascii="Times New Roman" w:hAnsi="Times New Roman" w:cs="Times New Roman"/>
          <w:i/>
          <w:spacing w:val="-13"/>
          <w:sz w:val="24"/>
          <w:szCs w:val="24"/>
        </w:rPr>
        <w:t xml:space="preserve"> </w:t>
      </w:r>
      <w:r w:rsidRPr="0046598A">
        <w:rPr>
          <w:rFonts w:ascii="Times New Roman" w:hAnsi="Times New Roman" w:cs="Times New Roman"/>
          <w:i/>
          <w:spacing w:val="-1"/>
          <w:sz w:val="24"/>
          <w:szCs w:val="24"/>
        </w:rPr>
        <w:t>15</w:t>
      </w:r>
      <w:r w:rsidRPr="0046598A">
        <w:rPr>
          <w:rFonts w:ascii="Times New Roman" w:hAnsi="Times New Roman" w:cs="Times New Roman"/>
          <w:i/>
          <w:spacing w:val="-13"/>
          <w:sz w:val="24"/>
          <w:szCs w:val="24"/>
        </w:rPr>
        <w:t xml:space="preserve"> </w:t>
      </w:r>
      <w:r w:rsidRPr="0046598A">
        <w:rPr>
          <w:rFonts w:ascii="Times New Roman" w:hAnsi="Times New Roman" w:cs="Times New Roman"/>
          <w:i/>
          <w:spacing w:val="-1"/>
          <w:sz w:val="24"/>
          <w:szCs w:val="24"/>
        </w:rPr>
        <w:t>shtohet</w:t>
      </w:r>
      <w:r w:rsidRPr="0046598A">
        <w:rPr>
          <w:rFonts w:ascii="Times New Roman" w:hAnsi="Times New Roman" w:cs="Times New Roman"/>
          <w:i/>
          <w:spacing w:val="-14"/>
          <w:sz w:val="24"/>
          <w:szCs w:val="24"/>
        </w:rPr>
        <w:t xml:space="preserve"> </w:t>
      </w:r>
      <w:r w:rsidRPr="0046598A">
        <w:rPr>
          <w:rFonts w:ascii="Times New Roman" w:hAnsi="Times New Roman" w:cs="Times New Roman"/>
          <w:i/>
          <w:spacing w:val="-1"/>
          <w:sz w:val="24"/>
          <w:szCs w:val="24"/>
        </w:rPr>
        <w:t>neni</w:t>
      </w:r>
      <w:r w:rsidRPr="0046598A">
        <w:rPr>
          <w:rFonts w:ascii="Times New Roman" w:hAnsi="Times New Roman" w:cs="Times New Roman"/>
          <w:i/>
          <w:spacing w:val="-13"/>
          <w:sz w:val="24"/>
          <w:szCs w:val="24"/>
        </w:rPr>
        <w:t xml:space="preserve"> </w:t>
      </w:r>
      <w:r w:rsidRPr="0046598A">
        <w:rPr>
          <w:rFonts w:ascii="Times New Roman" w:hAnsi="Times New Roman" w:cs="Times New Roman"/>
          <w:i/>
          <w:sz w:val="24"/>
          <w:szCs w:val="24"/>
        </w:rPr>
        <w:t xml:space="preserve">15/a, </w:t>
      </w:r>
      <w:r w:rsidRPr="0046598A">
        <w:rPr>
          <w:rFonts w:ascii="Times New Roman" w:hAnsi="Times New Roman" w:cs="Times New Roman"/>
          <w:i/>
          <w:w w:val="105"/>
          <w:sz w:val="24"/>
          <w:szCs w:val="24"/>
        </w:rPr>
        <w:t xml:space="preserve">VKM </w:t>
      </w:r>
      <w:r w:rsidRPr="0046598A">
        <w:rPr>
          <w:rFonts w:ascii="Times New Roman" w:hAnsi="Times New Roman" w:cs="Times New Roman"/>
          <w:i/>
          <w:w w:val="95"/>
          <w:sz w:val="24"/>
          <w:szCs w:val="24"/>
        </w:rPr>
        <w:t>Nr.</w:t>
      </w:r>
      <w:r w:rsidRPr="0046598A">
        <w:rPr>
          <w:rFonts w:ascii="Times New Roman" w:hAnsi="Times New Roman" w:cs="Times New Roman"/>
          <w:i/>
          <w:spacing w:val="7"/>
          <w:w w:val="95"/>
          <w:sz w:val="24"/>
          <w:szCs w:val="24"/>
        </w:rPr>
        <w:t xml:space="preserve"> </w:t>
      </w:r>
      <w:r w:rsidRPr="0046598A">
        <w:rPr>
          <w:rFonts w:ascii="Times New Roman" w:hAnsi="Times New Roman" w:cs="Times New Roman"/>
          <w:i/>
          <w:w w:val="95"/>
          <w:sz w:val="24"/>
          <w:szCs w:val="24"/>
        </w:rPr>
        <w:t>543,</w:t>
      </w:r>
      <w:r w:rsidRPr="0046598A">
        <w:rPr>
          <w:rFonts w:ascii="Times New Roman" w:hAnsi="Times New Roman" w:cs="Times New Roman"/>
          <w:i/>
          <w:spacing w:val="8"/>
          <w:w w:val="95"/>
          <w:sz w:val="24"/>
          <w:szCs w:val="24"/>
        </w:rPr>
        <w:t xml:space="preserve"> </w:t>
      </w:r>
      <w:r w:rsidRPr="0046598A">
        <w:rPr>
          <w:rFonts w:ascii="Times New Roman" w:hAnsi="Times New Roman" w:cs="Times New Roman"/>
          <w:i/>
          <w:w w:val="95"/>
          <w:sz w:val="24"/>
          <w:szCs w:val="24"/>
        </w:rPr>
        <w:t>datë</w:t>
      </w:r>
      <w:r w:rsidRPr="0046598A">
        <w:rPr>
          <w:rFonts w:ascii="Times New Roman" w:hAnsi="Times New Roman" w:cs="Times New Roman"/>
          <w:i/>
          <w:spacing w:val="9"/>
          <w:w w:val="95"/>
          <w:sz w:val="24"/>
          <w:szCs w:val="24"/>
        </w:rPr>
        <w:t xml:space="preserve"> </w:t>
      </w:r>
      <w:r w:rsidRPr="0046598A">
        <w:rPr>
          <w:rFonts w:ascii="Times New Roman" w:hAnsi="Times New Roman" w:cs="Times New Roman"/>
          <w:i/>
          <w:w w:val="95"/>
          <w:sz w:val="24"/>
          <w:szCs w:val="24"/>
        </w:rPr>
        <w:t>29.7.2022)</w:t>
      </w:r>
    </w:p>
    <w:p w:rsidR="0046598A" w:rsidRPr="0046598A" w:rsidRDefault="0046598A" w:rsidP="0046598A">
      <w:pPr>
        <w:pStyle w:val="BodyText"/>
        <w:spacing w:line="273" w:lineRule="exact"/>
        <w:ind w:left="3117" w:right="2815"/>
        <w:jc w:val="center"/>
      </w:pPr>
      <w:r w:rsidRPr="0046598A">
        <w:rPr>
          <w:spacing w:val="-1"/>
          <w:w w:val="105"/>
        </w:rPr>
        <w:t>Neni</w:t>
      </w:r>
      <w:r w:rsidRPr="0046598A">
        <w:rPr>
          <w:spacing w:val="-15"/>
          <w:w w:val="105"/>
        </w:rPr>
        <w:t xml:space="preserve"> </w:t>
      </w:r>
      <w:r w:rsidRPr="0046598A">
        <w:rPr>
          <w:w w:val="105"/>
        </w:rPr>
        <w:t>15/a</w:t>
      </w:r>
    </w:p>
    <w:p w:rsidR="0046598A" w:rsidRPr="0046598A" w:rsidRDefault="0046598A" w:rsidP="0046598A">
      <w:pPr>
        <w:pStyle w:val="Heading1"/>
        <w:ind w:right="2817"/>
      </w:pPr>
      <w:r w:rsidRPr="0046598A">
        <w:rPr>
          <w:w w:val="95"/>
        </w:rPr>
        <w:t>Ndarja</w:t>
      </w:r>
      <w:r w:rsidRPr="0046598A">
        <w:rPr>
          <w:spacing w:val="2"/>
          <w:w w:val="95"/>
        </w:rPr>
        <w:t xml:space="preserve"> </w:t>
      </w:r>
      <w:r w:rsidRPr="0046598A">
        <w:rPr>
          <w:w w:val="95"/>
        </w:rPr>
        <w:t>e</w:t>
      </w:r>
      <w:r w:rsidRPr="0046598A">
        <w:rPr>
          <w:spacing w:val="3"/>
          <w:w w:val="95"/>
        </w:rPr>
        <w:t xml:space="preserve"> </w:t>
      </w:r>
      <w:r w:rsidRPr="0046598A">
        <w:rPr>
          <w:w w:val="95"/>
        </w:rPr>
        <w:t>një</w:t>
      </w:r>
      <w:r w:rsidRPr="0046598A">
        <w:rPr>
          <w:spacing w:val="3"/>
          <w:w w:val="95"/>
        </w:rPr>
        <w:t xml:space="preserve"> </w:t>
      </w:r>
      <w:r w:rsidRPr="0046598A">
        <w:rPr>
          <w:w w:val="95"/>
        </w:rPr>
        <w:t>marke</w:t>
      </w:r>
      <w:r w:rsidRPr="0046598A">
        <w:rPr>
          <w:spacing w:val="3"/>
          <w:w w:val="95"/>
        </w:rPr>
        <w:t xml:space="preserve"> </w:t>
      </w:r>
      <w:r w:rsidRPr="0046598A">
        <w:rPr>
          <w:w w:val="95"/>
        </w:rPr>
        <w:t>të</w:t>
      </w:r>
      <w:r w:rsidRPr="0046598A">
        <w:rPr>
          <w:spacing w:val="4"/>
          <w:w w:val="95"/>
        </w:rPr>
        <w:t xml:space="preserve"> </w:t>
      </w:r>
      <w:r w:rsidRPr="0046598A">
        <w:rPr>
          <w:w w:val="95"/>
        </w:rPr>
        <w:t>regjistruar</w:t>
      </w:r>
    </w:p>
    <w:p w:rsidR="0046598A" w:rsidRPr="0046598A" w:rsidRDefault="0046598A" w:rsidP="0046598A">
      <w:pPr>
        <w:pStyle w:val="BodyText"/>
        <w:spacing w:before="4"/>
        <w:jc w:val="left"/>
        <w:rPr>
          <w:b/>
        </w:rPr>
      </w:pPr>
    </w:p>
    <w:p w:rsidR="0046598A" w:rsidRPr="0046598A" w:rsidRDefault="0046598A" w:rsidP="0046598A">
      <w:pPr>
        <w:pStyle w:val="ListParagraph"/>
        <w:widowControl w:val="0"/>
        <w:numPr>
          <w:ilvl w:val="0"/>
          <w:numId w:val="1"/>
        </w:numPr>
        <w:tabs>
          <w:tab w:val="left" w:pos="637"/>
        </w:tabs>
        <w:autoSpaceDE w:val="0"/>
        <w:autoSpaceDN w:val="0"/>
        <w:spacing w:after="0" w:line="235" w:lineRule="auto"/>
        <w:ind w:left="119" w:right="104" w:firstLine="284"/>
        <w:contextualSpacing w:val="0"/>
        <w:jc w:val="both"/>
        <w:rPr>
          <w:rFonts w:ascii="Times New Roman" w:hAnsi="Times New Roman" w:cs="Times New Roman"/>
          <w:sz w:val="24"/>
          <w:szCs w:val="24"/>
        </w:rPr>
      </w:pPr>
      <w:r w:rsidRPr="0046598A">
        <w:rPr>
          <w:rFonts w:ascii="Times New Roman" w:hAnsi="Times New Roman" w:cs="Times New Roman"/>
          <w:w w:val="95"/>
          <w:sz w:val="24"/>
          <w:szCs w:val="24"/>
        </w:rPr>
        <w:t>Parashikimet e dhëna në pikat 1–7, të nenit 15, të kësaj rregulloreje, gjejnë zbatim edhe për</w:t>
      </w:r>
      <w:r w:rsidRPr="0046598A">
        <w:rPr>
          <w:rFonts w:ascii="Times New Roman" w:hAnsi="Times New Roman" w:cs="Times New Roman"/>
          <w:spacing w:val="1"/>
          <w:w w:val="95"/>
          <w:sz w:val="24"/>
          <w:szCs w:val="24"/>
        </w:rPr>
        <w:t xml:space="preserve"> </w:t>
      </w:r>
      <w:r w:rsidRPr="0046598A">
        <w:rPr>
          <w:rFonts w:ascii="Times New Roman" w:hAnsi="Times New Roman" w:cs="Times New Roman"/>
          <w:sz w:val="24"/>
          <w:szCs w:val="24"/>
        </w:rPr>
        <w:t>kërkesën</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dorëzuar</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ndarjen</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një</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marke</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regjistruar.</w:t>
      </w:r>
    </w:p>
    <w:p w:rsidR="0046598A" w:rsidRPr="0046598A" w:rsidRDefault="0046598A" w:rsidP="0046598A">
      <w:pPr>
        <w:pStyle w:val="ListParagraph"/>
        <w:widowControl w:val="0"/>
        <w:numPr>
          <w:ilvl w:val="1"/>
          <w:numId w:val="1"/>
        </w:numPr>
        <w:tabs>
          <w:tab w:val="left" w:pos="826"/>
        </w:tabs>
        <w:autoSpaceDE w:val="0"/>
        <w:autoSpaceDN w:val="0"/>
        <w:spacing w:after="0" w:line="235" w:lineRule="auto"/>
        <w:ind w:left="119" w:right="104" w:firstLine="284"/>
        <w:contextualSpacing w:val="0"/>
        <w:jc w:val="both"/>
        <w:rPr>
          <w:rFonts w:ascii="Times New Roman" w:hAnsi="Times New Roman" w:cs="Times New Roman"/>
          <w:sz w:val="24"/>
          <w:szCs w:val="24"/>
        </w:rPr>
      </w:pPr>
      <w:r w:rsidRPr="0046598A">
        <w:rPr>
          <w:rFonts w:ascii="Times New Roman" w:hAnsi="Times New Roman" w:cs="Times New Roman"/>
          <w:sz w:val="24"/>
          <w:szCs w:val="24"/>
        </w:rPr>
        <w:t>Formulari i kërkesës për ndarjen e markës së regjistruar, që i bashkëlidhet kësaj</w:t>
      </w:r>
      <w:r w:rsidRPr="0046598A">
        <w:rPr>
          <w:rFonts w:ascii="Times New Roman" w:hAnsi="Times New Roman" w:cs="Times New Roman"/>
          <w:spacing w:val="1"/>
          <w:sz w:val="24"/>
          <w:szCs w:val="24"/>
        </w:rPr>
        <w:t xml:space="preserve"> </w:t>
      </w:r>
      <w:r w:rsidRPr="0046598A">
        <w:rPr>
          <w:rFonts w:ascii="Times New Roman" w:hAnsi="Times New Roman" w:cs="Times New Roman"/>
          <w:sz w:val="24"/>
          <w:szCs w:val="24"/>
        </w:rPr>
        <w:t>rregulloreje,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do</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përmbajë,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gjithashtu,</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dhënat</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mëposhtme:</w:t>
      </w:r>
    </w:p>
    <w:p w:rsidR="0046598A" w:rsidRPr="0046598A" w:rsidRDefault="0046598A" w:rsidP="0046598A">
      <w:pPr>
        <w:pStyle w:val="ListParagraph"/>
        <w:widowControl w:val="0"/>
        <w:numPr>
          <w:ilvl w:val="2"/>
          <w:numId w:val="1"/>
        </w:numPr>
        <w:tabs>
          <w:tab w:val="left" w:pos="906"/>
        </w:tabs>
        <w:autoSpaceDE w:val="0"/>
        <w:autoSpaceDN w:val="0"/>
        <w:spacing w:after="0" w:line="268" w:lineRule="exact"/>
        <w:ind w:left="119" w:hanging="503"/>
        <w:contextualSpacing w:val="0"/>
        <w:jc w:val="both"/>
        <w:rPr>
          <w:rFonts w:ascii="Times New Roman" w:hAnsi="Times New Roman" w:cs="Times New Roman"/>
          <w:sz w:val="24"/>
          <w:szCs w:val="24"/>
        </w:rPr>
      </w:pPr>
      <w:r w:rsidRPr="0046598A">
        <w:rPr>
          <w:rFonts w:ascii="Times New Roman" w:hAnsi="Times New Roman" w:cs="Times New Roman"/>
          <w:w w:val="95"/>
          <w:sz w:val="24"/>
          <w:szCs w:val="24"/>
        </w:rPr>
        <w:lastRenderedPageBreak/>
        <w:t>numrin</w:t>
      </w:r>
      <w:r w:rsidRPr="0046598A">
        <w:rPr>
          <w:rFonts w:ascii="Times New Roman" w:hAnsi="Times New Roman" w:cs="Times New Roman"/>
          <w:spacing w:val="-1"/>
          <w:w w:val="95"/>
          <w:sz w:val="24"/>
          <w:szCs w:val="24"/>
        </w:rPr>
        <w:t xml:space="preserve"> </w:t>
      </w:r>
      <w:r w:rsidRPr="0046598A">
        <w:rPr>
          <w:rFonts w:ascii="Times New Roman" w:hAnsi="Times New Roman" w:cs="Times New Roman"/>
          <w:w w:val="95"/>
          <w:sz w:val="24"/>
          <w:szCs w:val="24"/>
        </w:rPr>
        <w:t>e</w:t>
      </w:r>
      <w:r w:rsidRPr="0046598A">
        <w:rPr>
          <w:rFonts w:ascii="Times New Roman" w:hAnsi="Times New Roman" w:cs="Times New Roman"/>
          <w:spacing w:val="1"/>
          <w:w w:val="95"/>
          <w:sz w:val="24"/>
          <w:szCs w:val="24"/>
        </w:rPr>
        <w:t xml:space="preserve"> </w:t>
      </w:r>
      <w:r w:rsidRPr="0046598A">
        <w:rPr>
          <w:rFonts w:ascii="Times New Roman" w:hAnsi="Times New Roman" w:cs="Times New Roman"/>
          <w:w w:val="95"/>
          <w:sz w:val="24"/>
          <w:szCs w:val="24"/>
        </w:rPr>
        <w:t>regjistrimit</w:t>
      </w:r>
      <w:r w:rsidRPr="0046598A">
        <w:rPr>
          <w:rFonts w:ascii="Times New Roman" w:hAnsi="Times New Roman" w:cs="Times New Roman"/>
          <w:spacing w:val="1"/>
          <w:w w:val="95"/>
          <w:sz w:val="24"/>
          <w:szCs w:val="24"/>
        </w:rPr>
        <w:t xml:space="preserve"> </w:t>
      </w:r>
      <w:r w:rsidRPr="0046598A">
        <w:rPr>
          <w:rFonts w:ascii="Times New Roman" w:hAnsi="Times New Roman" w:cs="Times New Roman"/>
          <w:w w:val="95"/>
          <w:sz w:val="24"/>
          <w:szCs w:val="24"/>
        </w:rPr>
        <w:t>të</w:t>
      </w:r>
      <w:r w:rsidRPr="0046598A">
        <w:rPr>
          <w:rFonts w:ascii="Times New Roman" w:hAnsi="Times New Roman" w:cs="Times New Roman"/>
          <w:spacing w:val="1"/>
          <w:w w:val="95"/>
          <w:sz w:val="24"/>
          <w:szCs w:val="24"/>
        </w:rPr>
        <w:t xml:space="preserve"> </w:t>
      </w:r>
      <w:r w:rsidRPr="0046598A">
        <w:rPr>
          <w:rFonts w:ascii="Times New Roman" w:hAnsi="Times New Roman" w:cs="Times New Roman"/>
          <w:w w:val="95"/>
          <w:sz w:val="24"/>
          <w:szCs w:val="24"/>
        </w:rPr>
        <w:t>markës;</w:t>
      </w:r>
    </w:p>
    <w:p w:rsidR="0046598A" w:rsidRPr="0046598A" w:rsidRDefault="0046598A" w:rsidP="0046598A">
      <w:pPr>
        <w:pStyle w:val="ListParagraph"/>
        <w:widowControl w:val="0"/>
        <w:numPr>
          <w:ilvl w:val="2"/>
          <w:numId w:val="1"/>
        </w:numPr>
        <w:tabs>
          <w:tab w:val="left" w:pos="906"/>
        </w:tabs>
        <w:autoSpaceDE w:val="0"/>
        <w:autoSpaceDN w:val="0"/>
        <w:spacing w:after="0" w:line="270" w:lineRule="exact"/>
        <w:ind w:left="119" w:hanging="503"/>
        <w:contextualSpacing w:val="0"/>
        <w:jc w:val="both"/>
        <w:rPr>
          <w:rFonts w:ascii="Times New Roman" w:hAnsi="Times New Roman" w:cs="Times New Roman"/>
          <w:sz w:val="24"/>
          <w:szCs w:val="24"/>
        </w:rPr>
      </w:pPr>
      <w:proofErr w:type="gramStart"/>
      <w:r w:rsidRPr="0046598A">
        <w:rPr>
          <w:rFonts w:ascii="Times New Roman" w:hAnsi="Times New Roman" w:cs="Times New Roman"/>
          <w:spacing w:val="-1"/>
          <w:sz w:val="24"/>
          <w:szCs w:val="24"/>
        </w:rPr>
        <w:t>emrin</w:t>
      </w:r>
      <w:proofErr w:type="gramEnd"/>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dhe</w:t>
      </w:r>
      <w:r w:rsidRPr="0046598A">
        <w:rPr>
          <w:rFonts w:ascii="Times New Roman" w:hAnsi="Times New Roman" w:cs="Times New Roman"/>
          <w:spacing w:val="-12"/>
          <w:sz w:val="24"/>
          <w:szCs w:val="24"/>
        </w:rPr>
        <w:t xml:space="preserve"> </w:t>
      </w:r>
      <w:r w:rsidRPr="0046598A">
        <w:rPr>
          <w:rFonts w:ascii="Times New Roman" w:hAnsi="Times New Roman" w:cs="Times New Roman"/>
          <w:spacing w:val="-1"/>
          <w:sz w:val="24"/>
          <w:szCs w:val="24"/>
        </w:rPr>
        <w:t>adresën</w:t>
      </w:r>
      <w:r w:rsidRPr="0046598A">
        <w:rPr>
          <w:rFonts w:ascii="Times New Roman" w:hAnsi="Times New Roman" w:cs="Times New Roman"/>
          <w:spacing w:val="-12"/>
          <w:sz w:val="24"/>
          <w:szCs w:val="24"/>
        </w:rPr>
        <w:t xml:space="preserve"> </w:t>
      </w:r>
      <w:r w:rsidRPr="0046598A">
        <w:rPr>
          <w:rFonts w:ascii="Times New Roman" w:hAnsi="Times New Roman" w:cs="Times New Roman"/>
          <w:spacing w:val="-1"/>
          <w:sz w:val="24"/>
          <w:szCs w:val="24"/>
        </w:rPr>
        <w:t>e</w:t>
      </w:r>
      <w:r w:rsidRPr="0046598A">
        <w:rPr>
          <w:rFonts w:ascii="Times New Roman" w:hAnsi="Times New Roman" w:cs="Times New Roman"/>
          <w:spacing w:val="-12"/>
          <w:sz w:val="24"/>
          <w:szCs w:val="24"/>
        </w:rPr>
        <w:t xml:space="preserve"> </w:t>
      </w:r>
      <w:r w:rsidRPr="0046598A">
        <w:rPr>
          <w:rFonts w:ascii="Times New Roman" w:hAnsi="Times New Roman" w:cs="Times New Roman"/>
          <w:spacing w:val="-1"/>
          <w:sz w:val="24"/>
          <w:szCs w:val="24"/>
        </w:rPr>
        <w:t>pronarit.</w:t>
      </w:r>
    </w:p>
    <w:p w:rsidR="0046598A" w:rsidRPr="0046598A" w:rsidRDefault="0046598A" w:rsidP="0046598A">
      <w:pPr>
        <w:pStyle w:val="ListParagraph"/>
        <w:widowControl w:val="0"/>
        <w:numPr>
          <w:ilvl w:val="0"/>
          <w:numId w:val="1"/>
        </w:numPr>
        <w:tabs>
          <w:tab w:val="left" w:pos="640"/>
        </w:tabs>
        <w:autoSpaceDE w:val="0"/>
        <w:autoSpaceDN w:val="0"/>
        <w:spacing w:before="1" w:after="0" w:line="235" w:lineRule="auto"/>
        <w:ind w:left="119" w:right="99" w:firstLine="284"/>
        <w:contextualSpacing w:val="0"/>
        <w:jc w:val="both"/>
        <w:rPr>
          <w:rFonts w:ascii="Times New Roman" w:hAnsi="Times New Roman" w:cs="Times New Roman"/>
          <w:sz w:val="24"/>
          <w:szCs w:val="24"/>
        </w:rPr>
      </w:pPr>
      <w:r w:rsidRPr="0046598A">
        <w:rPr>
          <w:rFonts w:ascii="Times New Roman" w:hAnsi="Times New Roman" w:cs="Times New Roman"/>
          <w:sz w:val="24"/>
          <w:szCs w:val="24"/>
        </w:rPr>
        <w:t>Nëse</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përpara</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dorëzimit</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kërkesës,</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ndarjen</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apo</w:t>
      </w:r>
      <w:r w:rsidRPr="0046598A">
        <w:rPr>
          <w:rFonts w:ascii="Times New Roman" w:hAnsi="Times New Roman" w:cs="Times New Roman"/>
          <w:spacing w:val="-12"/>
          <w:sz w:val="24"/>
          <w:szCs w:val="24"/>
        </w:rPr>
        <w:t xml:space="preserve"> </w:t>
      </w:r>
      <w:r w:rsidRPr="0046598A">
        <w:rPr>
          <w:rFonts w:ascii="Times New Roman" w:hAnsi="Times New Roman" w:cs="Times New Roman"/>
          <w:sz w:val="24"/>
          <w:szCs w:val="24"/>
        </w:rPr>
        <w:t>jo</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markës</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së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regjistruar,</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është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duke</w:t>
      </w:r>
      <w:r w:rsidRPr="0046598A">
        <w:rPr>
          <w:rFonts w:ascii="Times New Roman" w:hAnsi="Times New Roman" w:cs="Times New Roman"/>
          <w:spacing w:val="-57"/>
          <w:sz w:val="24"/>
          <w:szCs w:val="24"/>
        </w:rPr>
        <w:t xml:space="preserve"> </w:t>
      </w:r>
      <w:r w:rsidRPr="0046598A">
        <w:rPr>
          <w:rFonts w:ascii="Times New Roman" w:hAnsi="Times New Roman" w:cs="Times New Roman"/>
          <w:spacing w:val="-1"/>
          <w:sz w:val="24"/>
          <w:szCs w:val="24"/>
        </w:rPr>
        <w:t>u</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shqyrtuar</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një</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kërkesë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për</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shfuqizim</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apo</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pavlefshmëri</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të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markës</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së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regjistruar</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nga</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DPPI-ja</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ose</w:t>
      </w:r>
      <w:r w:rsidRPr="0046598A">
        <w:rPr>
          <w:rFonts w:ascii="Times New Roman" w:hAnsi="Times New Roman" w:cs="Times New Roman"/>
          <w:spacing w:val="-58"/>
          <w:sz w:val="24"/>
          <w:szCs w:val="24"/>
        </w:rPr>
        <w:t xml:space="preserve"> </w:t>
      </w:r>
      <w:r w:rsidRPr="0046598A">
        <w:rPr>
          <w:rFonts w:ascii="Times New Roman" w:hAnsi="Times New Roman" w:cs="Times New Roman"/>
          <w:spacing w:val="-1"/>
          <w:sz w:val="24"/>
          <w:szCs w:val="24"/>
        </w:rPr>
        <w:t xml:space="preserve">gjykata, vendimmarrja për kërkesën për ndarjen e markës së regjistruar pezullohet, </w:t>
      </w:r>
      <w:r w:rsidRPr="0046598A">
        <w:rPr>
          <w:rFonts w:ascii="Times New Roman" w:hAnsi="Times New Roman" w:cs="Times New Roman"/>
          <w:sz w:val="24"/>
          <w:szCs w:val="24"/>
        </w:rPr>
        <w:t>sipas rastit,</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deri në momentin e zgjidhjes së mosmarrëveshjes me mirëkuptim midis palëve apo marrjes së</w:t>
      </w:r>
      <w:r w:rsidRPr="0046598A">
        <w:rPr>
          <w:rFonts w:ascii="Times New Roman" w:hAnsi="Times New Roman" w:cs="Times New Roman"/>
          <w:spacing w:val="-58"/>
          <w:sz w:val="24"/>
          <w:szCs w:val="24"/>
        </w:rPr>
        <w:t xml:space="preserve"> </w:t>
      </w:r>
      <w:r w:rsidRPr="0046598A">
        <w:rPr>
          <w:rFonts w:ascii="Times New Roman" w:hAnsi="Times New Roman" w:cs="Times New Roman"/>
          <w:sz w:val="24"/>
          <w:szCs w:val="24"/>
        </w:rPr>
        <w:t>formës</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së</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prerë</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vendimit</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gjykatës.</w:t>
      </w:r>
    </w:p>
    <w:p w:rsidR="0046598A" w:rsidRPr="0046598A" w:rsidRDefault="0046598A" w:rsidP="0046598A">
      <w:pPr>
        <w:pStyle w:val="BodyText"/>
        <w:spacing w:line="235" w:lineRule="auto"/>
        <w:ind w:left="119" w:right="100" w:firstLine="284"/>
      </w:pPr>
      <w:r w:rsidRPr="0046598A">
        <w:t>Detyrimin për njoftimin e DPPI-së, në lidhje me një kërkesë të depozituar zyrtarisht për</w:t>
      </w:r>
      <w:r w:rsidRPr="0046598A">
        <w:rPr>
          <w:spacing w:val="1"/>
        </w:rPr>
        <w:t xml:space="preserve"> </w:t>
      </w:r>
      <w:r w:rsidRPr="0046598A">
        <w:t>shfuqizim apo pavlefshmëri të markës së regjistruar në DPPI apo në gjykatë e ka kërkuesi i</w:t>
      </w:r>
      <w:r w:rsidRPr="0046598A">
        <w:rPr>
          <w:spacing w:val="1"/>
        </w:rPr>
        <w:t xml:space="preserve"> </w:t>
      </w:r>
      <w:r w:rsidRPr="0046598A">
        <w:t>shfuqizimit/zhvlerësimit</w:t>
      </w:r>
      <w:r w:rsidRPr="0046598A">
        <w:rPr>
          <w:spacing w:val="-6"/>
        </w:rPr>
        <w:t xml:space="preserve"> </w:t>
      </w:r>
      <w:r w:rsidRPr="0046598A">
        <w:t>të</w:t>
      </w:r>
      <w:r w:rsidRPr="0046598A">
        <w:rPr>
          <w:spacing w:val="-5"/>
        </w:rPr>
        <w:t xml:space="preserve"> </w:t>
      </w:r>
      <w:r w:rsidRPr="0046598A">
        <w:t>markës</w:t>
      </w:r>
      <w:r w:rsidRPr="0046598A">
        <w:rPr>
          <w:spacing w:val="-5"/>
        </w:rPr>
        <w:t xml:space="preserve"> </w:t>
      </w:r>
      <w:r w:rsidRPr="0046598A">
        <w:t>së</w:t>
      </w:r>
      <w:r w:rsidRPr="0046598A">
        <w:rPr>
          <w:spacing w:val="-7"/>
        </w:rPr>
        <w:t xml:space="preserve"> </w:t>
      </w:r>
      <w:r w:rsidRPr="0046598A">
        <w:t>regjistruar,</w:t>
      </w:r>
      <w:r w:rsidRPr="0046598A">
        <w:rPr>
          <w:spacing w:val="-5"/>
        </w:rPr>
        <w:t xml:space="preserve"> </w:t>
      </w:r>
      <w:r w:rsidRPr="0046598A">
        <w:t>që</w:t>
      </w:r>
      <w:r w:rsidRPr="0046598A">
        <w:rPr>
          <w:spacing w:val="-6"/>
        </w:rPr>
        <w:t xml:space="preserve"> </w:t>
      </w:r>
      <w:r w:rsidRPr="0046598A">
        <w:t>kërkohet</w:t>
      </w:r>
      <w:r w:rsidRPr="0046598A">
        <w:rPr>
          <w:spacing w:val="-6"/>
        </w:rPr>
        <w:t xml:space="preserve"> </w:t>
      </w:r>
      <w:r w:rsidRPr="0046598A">
        <w:t>të</w:t>
      </w:r>
      <w:r w:rsidRPr="0046598A">
        <w:rPr>
          <w:spacing w:val="-5"/>
        </w:rPr>
        <w:t xml:space="preserve"> </w:t>
      </w:r>
      <w:r w:rsidRPr="0046598A">
        <w:t>ndahet.</w:t>
      </w:r>
    </w:p>
    <w:p w:rsidR="0046598A" w:rsidRPr="0046598A" w:rsidRDefault="0046598A" w:rsidP="0046598A">
      <w:pPr>
        <w:pStyle w:val="ListParagraph"/>
        <w:widowControl w:val="0"/>
        <w:numPr>
          <w:ilvl w:val="0"/>
          <w:numId w:val="1"/>
        </w:numPr>
        <w:tabs>
          <w:tab w:val="left" w:pos="638"/>
        </w:tabs>
        <w:autoSpaceDE w:val="0"/>
        <w:autoSpaceDN w:val="0"/>
        <w:spacing w:after="0" w:line="235" w:lineRule="auto"/>
        <w:ind w:left="119" w:right="100" w:firstLine="284"/>
        <w:contextualSpacing w:val="0"/>
        <w:jc w:val="both"/>
        <w:rPr>
          <w:rFonts w:ascii="Times New Roman" w:hAnsi="Times New Roman" w:cs="Times New Roman"/>
          <w:sz w:val="24"/>
          <w:szCs w:val="24"/>
        </w:rPr>
      </w:pPr>
      <w:r w:rsidRPr="0046598A">
        <w:rPr>
          <w:rFonts w:ascii="Times New Roman" w:hAnsi="Times New Roman" w:cs="Times New Roman"/>
          <w:spacing w:val="-1"/>
          <w:sz w:val="24"/>
          <w:szCs w:val="24"/>
        </w:rPr>
        <w:t>Markës</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së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ndarë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i</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caktohet</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një</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numër</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i</w:t>
      </w:r>
      <w:r w:rsidRPr="0046598A">
        <w:rPr>
          <w:rFonts w:ascii="Times New Roman" w:hAnsi="Times New Roman" w:cs="Times New Roman"/>
          <w:spacing w:val="-14"/>
          <w:sz w:val="24"/>
          <w:szCs w:val="24"/>
        </w:rPr>
        <w:t xml:space="preserve"> </w:t>
      </w:r>
      <w:proofErr w:type="gramStart"/>
      <w:r w:rsidRPr="0046598A">
        <w:rPr>
          <w:rFonts w:ascii="Times New Roman" w:hAnsi="Times New Roman" w:cs="Times New Roman"/>
          <w:sz w:val="24"/>
          <w:szCs w:val="24"/>
        </w:rPr>
        <w:t>ri</w:t>
      </w:r>
      <w:proofErr w:type="gramEnd"/>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kërkese,</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si</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dhe</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një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numër</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i</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ri</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regjistrimi.</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Marka</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ndarë do të ruajë të njëjtën datë depozitimi ose prioriteti, si dhe datë regjistrimi me markën</w:t>
      </w:r>
      <w:r w:rsidRPr="0046598A">
        <w:rPr>
          <w:rFonts w:ascii="Times New Roman" w:hAnsi="Times New Roman" w:cs="Times New Roman"/>
          <w:spacing w:val="1"/>
          <w:sz w:val="24"/>
          <w:szCs w:val="24"/>
        </w:rPr>
        <w:t xml:space="preserve"> </w:t>
      </w:r>
      <w:r w:rsidRPr="0046598A">
        <w:rPr>
          <w:rFonts w:ascii="Times New Roman" w:hAnsi="Times New Roman" w:cs="Times New Roman"/>
          <w:sz w:val="24"/>
          <w:szCs w:val="24"/>
        </w:rPr>
        <w:t>fillestare</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dhe</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do</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njoftojë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pronarin</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markës</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ndarjen.</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Njoftimi</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do</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përmbajë</w:t>
      </w:r>
      <w:r w:rsidRPr="0046598A">
        <w:rPr>
          <w:rFonts w:ascii="Times New Roman" w:hAnsi="Times New Roman" w:cs="Times New Roman"/>
          <w:spacing w:val="-10"/>
          <w:sz w:val="24"/>
          <w:szCs w:val="24"/>
        </w:rPr>
        <w:t xml:space="preserve"> </w:t>
      </w:r>
      <w:r w:rsidRPr="0046598A">
        <w:rPr>
          <w:rFonts w:ascii="Times New Roman" w:hAnsi="Times New Roman" w:cs="Times New Roman"/>
          <w:sz w:val="24"/>
          <w:szCs w:val="24"/>
        </w:rPr>
        <w:t>ekstraktin</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8"/>
          <w:sz w:val="24"/>
          <w:szCs w:val="24"/>
        </w:rPr>
        <w:t xml:space="preserve"> </w:t>
      </w:r>
      <w:r w:rsidRPr="0046598A">
        <w:rPr>
          <w:rFonts w:ascii="Times New Roman" w:hAnsi="Times New Roman" w:cs="Times New Roman"/>
          <w:sz w:val="24"/>
          <w:szCs w:val="24"/>
        </w:rPr>
        <w:t>regjistrit</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markën</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fillestare</w:t>
      </w:r>
      <w:r w:rsidRPr="0046598A">
        <w:rPr>
          <w:rFonts w:ascii="Times New Roman" w:hAnsi="Times New Roman" w:cs="Times New Roman"/>
          <w:spacing w:val="-4"/>
          <w:sz w:val="24"/>
          <w:szCs w:val="24"/>
        </w:rPr>
        <w:t xml:space="preserve"> </w:t>
      </w:r>
      <w:r w:rsidRPr="0046598A">
        <w:rPr>
          <w:rFonts w:ascii="Times New Roman" w:hAnsi="Times New Roman" w:cs="Times New Roman"/>
          <w:sz w:val="24"/>
          <w:szCs w:val="24"/>
        </w:rPr>
        <w:t>dhe</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markën</w:t>
      </w:r>
      <w:r w:rsidRPr="0046598A">
        <w:rPr>
          <w:rFonts w:ascii="Times New Roman" w:hAnsi="Times New Roman" w:cs="Times New Roman"/>
          <w:spacing w:val="-3"/>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ndarë.</w:t>
      </w:r>
    </w:p>
    <w:p w:rsidR="0046598A" w:rsidRPr="0046598A" w:rsidRDefault="0046598A" w:rsidP="0046598A">
      <w:pPr>
        <w:pStyle w:val="ListParagraph"/>
        <w:widowControl w:val="0"/>
        <w:numPr>
          <w:ilvl w:val="0"/>
          <w:numId w:val="1"/>
        </w:numPr>
        <w:tabs>
          <w:tab w:val="left" w:pos="632"/>
        </w:tabs>
        <w:autoSpaceDE w:val="0"/>
        <w:autoSpaceDN w:val="0"/>
        <w:spacing w:after="0" w:line="235" w:lineRule="auto"/>
        <w:ind w:left="119" w:right="102" w:firstLine="284"/>
        <w:contextualSpacing w:val="0"/>
        <w:jc w:val="both"/>
        <w:rPr>
          <w:rFonts w:ascii="Times New Roman" w:hAnsi="Times New Roman" w:cs="Times New Roman"/>
          <w:sz w:val="24"/>
          <w:szCs w:val="24"/>
        </w:rPr>
      </w:pPr>
      <w:r w:rsidRPr="0046598A">
        <w:rPr>
          <w:rFonts w:ascii="Times New Roman" w:hAnsi="Times New Roman" w:cs="Times New Roman"/>
          <w:w w:val="95"/>
          <w:sz w:val="24"/>
          <w:szCs w:val="24"/>
        </w:rPr>
        <w:t>Pas vendimmarrjes së DPPI-së për ndarjen e markës së regjistruar, marka e ndarë nuk do të</w:t>
      </w:r>
      <w:r w:rsidRPr="0046598A">
        <w:rPr>
          <w:rFonts w:ascii="Times New Roman" w:hAnsi="Times New Roman" w:cs="Times New Roman"/>
          <w:spacing w:val="1"/>
          <w:w w:val="95"/>
          <w:sz w:val="24"/>
          <w:szCs w:val="24"/>
        </w:rPr>
        <w:t xml:space="preserve"> </w:t>
      </w:r>
      <w:r w:rsidRPr="0046598A">
        <w:rPr>
          <w:rFonts w:ascii="Times New Roman" w:hAnsi="Times New Roman" w:cs="Times New Roman"/>
          <w:sz w:val="24"/>
          <w:szCs w:val="24"/>
        </w:rPr>
        <w:t>jetë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objekt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i</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publikimit,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kuptim</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nenit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151</w:t>
      </w:r>
      <w:r w:rsidRPr="0046598A">
        <w:rPr>
          <w:rFonts w:ascii="Times New Roman" w:hAnsi="Times New Roman" w:cs="Times New Roman"/>
          <w:spacing w:val="-8"/>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ligjit,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dhe</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as</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kundërshtimit</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kuptim</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9"/>
          <w:sz w:val="24"/>
          <w:szCs w:val="24"/>
        </w:rPr>
        <w:t xml:space="preserve"> </w:t>
      </w:r>
      <w:r w:rsidRPr="0046598A">
        <w:rPr>
          <w:rFonts w:ascii="Times New Roman" w:hAnsi="Times New Roman" w:cs="Times New Roman"/>
          <w:sz w:val="24"/>
          <w:szCs w:val="24"/>
        </w:rPr>
        <w:t>nenit</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152</w:t>
      </w:r>
      <w:r w:rsidRPr="0046598A">
        <w:rPr>
          <w:rFonts w:ascii="Times New Roman" w:hAnsi="Times New Roman" w:cs="Times New Roman"/>
          <w:spacing w:val="-1"/>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1"/>
          <w:sz w:val="24"/>
          <w:szCs w:val="24"/>
        </w:rPr>
        <w:t xml:space="preserve"> </w:t>
      </w:r>
      <w:r w:rsidRPr="0046598A">
        <w:rPr>
          <w:rFonts w:ascii="Times New Roman" w:hAnsi="Times New Roman" w:cs="Times New Roman"/>
          <w:sz w:val="24"/>
          <w:szCs w:val="24"/>
        </w:rPr>
        <w:t>ligjit.</w:t>
      </w:r>
    </w:p>
    <w:p w:rsidR="0046598A" w:rsidRPr="0046598A" w:rsidRDefault="0046598A" w:rsidP="0046598A">
      <w:pPr>
        <w:pStyle w:val="ListParagraph"/>
        <w:widowControl w:val="0"/>
        <w:numPr>
          <w:ilvl w:val="0"/>
          <w:numId w:val="1"/>
        </w:numPr>
        <w:tabs>
          <w:tab w:val="left" w:pos="629"/>
        </w:tabs>
        <w:autoSpaceDE w:val="0"/>
        <w:autoSpaceDN w:val="0"/>
        <w:spacing w:after="0" w:line="267" w:lineRule="exact"/>
        <w:ind w:left="628" w:hanging="226"/>
        <w:contextualSpacing w:val="0"/>
        <w:jc w:val="both"/>
        <w:rPr>
          <w:rFonts w:ascii="Times New Roman" w:hAnsi="Times New Roman" w:cs="Times New Roman"/>
          <w:sz w:val="24"/>
          <w:szCs w:val="24"/>
        </w:rPr>
      </w:pPr>
      <w:r w:rsidRPr="0046598A">
        <w:rPr>
          <w:rFonts w:ascii="Times New Roman" w:hAnsi="Times New Roman" w:cs="Times New Roman"/>
          <w:w w:val="95"/>
          <w:sz w:val="24"/>
          <w:szCs w:val="24"/>
        </w:rPr>
        <w:t>Ndarja</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e</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markës</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së</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regjistruar</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do</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të</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publikohet</w:t>
      </w:r>
      <w:r w:rsidRPr="0046598A">
        <w:rPr>
          <w:rFonts w:ascii="Times New Roman" w:hAnsi="Times New Roman" w:cs="Times New Roman"/>
          <w:spacing w:val="6"/>
          <w:w w:val="95"/>
          <w:sz w:val="24"/>
          <w:szCs w:val="24"/>
        </w:rPr>
        <w:t xml:space="preserve"> </w:t>
      </w:r>
      <w:r w:rsidRPr="0046598A">
        <w:rPr>
          <w:rFonts w:ascii="Times New Roman" w:hAnsi="Times New Roman" w:cs="Times New Roman"/>
          <w:w w:val="95"/>
          <w:sz w:val="24"/>
          <w:szCs w:val="24"/>
        </w:rPr>
        <w:t>në</w:t>
      </w:r>
      <w:r w:rsidRPr="0046598A">
        <w:rPr>
          <w:rFonts w:ascii="Times New Roman" w:hAnsi="Times New Roman" w:cs="Times New Roman"/>
          <w:spacing w:val="5"/>
          <w:w w:val="95"/>
          <w:sz w:val="24"/>
          <w:szCs w:val="24"/>
        </w:rPr>
        <w:t xml:space="preserve"> </w:t>
      </w:r>
      <w:r w:rsidRPr="0046598A">
        <w:rPr>
          <w:rFonts w:ascii="Times New Roman" w:hAnsi="Times New Roman" w:cs="Times New Roman"/>
          <w:w w:val="95"/>
          <w:sz w:val="24"/>
          <w:szCs w:val="24"/>
        </w:rPr>
        <w:t>Buletinin</w:t>
      </w:r>
      <w:r w:rsidRPr="0046598A">
        <w:rPr>
          <w:rFonts w:ascii="Times New Roman" w:hAnsi="Times New Roman" w:cs="Times New Roman"/>
          <w:spacing w:val="4"/>
          <w:w w:val="95"/>
          <w:sz w:val="24"/>
          <w:szCs w:val="24"/>
        </w:rPr>
        <w:t xml:space="preserve"> </w:t>
      </w:r>
      <w:r w:rsidRPr="0046598A">
        <w:rPr>
          <w:rFonts w:ascii="Times New Roman" w:hAnsi="Times New Roman" w:cs="Times New Roman"/>
          <w:w w:val="95"/>
          <w:sz w:val="24"/>
          <w:szCs w:val="24"/>
        </w:rPr>
        <w:t>Zyrtar.</w:t>
      </w:r>
    </w:p>
    <w:p w:rsidR="0046598A" w:rsidRPr="0046598A" w:rsidRDefault="0046598A" w:rsidP="0046598A">
      <w:pPr>
        <w:pStyle w:val="ListParagraph"/>
        <w:widowControl w:val="0"/>
        <w:numPr>
          <w:ilvl w:val="0"/>
          <w:numId w:val="1"/>
        </w:numPr>
        <w:tabs>
          <w:tab w:val="left" w:pos="654"/>
        </w:tabs>
        <w:autoSpaceDE w:val="0"/>
        <w:autoSpaceDN w:val="0"/>
        <w:spacing w:after="0" w:line="235" w:lineRule="auto"/>
        <w:ind w:left="119" w:right="104" w:firstLine="284"/>
        <w:contextualSpacing w:val="0"/>
        <w:jc w:val="both"/>
        <w:rPr>
          <w:rFonts w:ascii="Times New Roman" w:hAnsi="Times New Roman" w:cs="Times New Roman"/>
          <w:sz w:val="24"/>
          <w:szCs w:val="24"/>
        </w:rPr>
      </w:pPr>
      <w:r w:rsidRPr="0046598A">
        <w:rPr>
          <w:rFonts w:ascii="Times New Roman" w:hAnsi="Times New Roman" w:cs="Times New Roman"/>
          <w:sz w:val="24"/>
          <w:szCs w:val="24"/>
        </w:rPr>
        <w:t>Zyra do të konsiderojë si ndarje të regjistrimit të markës edhe rastet, kur një kërkesë për</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regjistrimin</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1"/>
          <w:sz w:val="24"/>
          <w:szCs w:val="24"/>
        </w:rPr>
        <w:t xml:space="preserve"> </w:t>
      </w:r>
      <w:r w:rsidRPr="0046598A">
        <w:rPr>
          <w:rFonts w:ascii="Times New Roman" w:hAnsi="Times New Roman" w:cs="Times New Roman"/>
          <w:sz w:val="24"/>
          <w:szCs w:val="24"/>
        </w:rPr>
        <w:t>markës</w:t>
      </w:r>
      <w:r w:rsidRPr="0046598A">
        <w:rPr>
          <w:rFonts w:ascii="Times New Roman" w:hAnsi="Times New Roman" w:cs="Times New Roman"/>
          <w:spacing w:val="-2"/>
          <w:sz w:val="24"/>
          <w:szCs w:val="24"/>
        </w:rPr>
        <w:t xml:space="preserve"> </w:t>
      </w:r>
      <w:r w:rsidRPr="0046598A">
        <w:rPr>
          <w:rFonts w:ascii="Times New Roman" w:hAnsi="Times New Roman" w:cs="Times New Roman"/>
          <w:sz w:val="24"/>
          <w:szCs w:val="24"/>
        </w:rPr>
        <w:t>është:</w:t>
      </w:r>
    </w:p>
    <w:p w:rsidR="0046598A" w:rsidRPr="0046598A" w:rsidRDefault="0046598A" w:rsidP="0046598A">
      <w:pPr>
        <w:pStyle w:val="ListParagraph"/>
        <w:widowControl w:val="0"/>
        <w:numPr>
          <w:ilvl w:val="1"/>
          <w:numId w:val="1"/>
        </w:numPr>
        <w:tabs>
          <w:tab w:val="left" w:pos="776"/>
        </w:tabs>
        <w:autoSpaceDE w:val="0"/>
        <w:autoSpaceDN w:val="0"/>
        <w:spacing w:after="0" w:line="235" w:lineRule="auto"/>
        <w:ind w:left="119" w:right="101" w:firstLine="284"/>
        <w:contextualSpacing w:val="0"/>
        <w:jc w:val="both"/>
        <w:rPr>
          <w:rFonts w:ascii="Times New Roman" w:hAnsi="Times New Roman" w:cs="Times New Roman"/>
          <w:sz w:val="24"/>
          <w:szCs w:val="24"/>
        </w:rPr>
      </w:pPr>
      <w:proofErr w:type="gramStart"/>
      <w:r w:rsidRPr="0046598A">
        <w:rPr>
          <w:rFonts w:ascii="Times New Roman" w:hAnsi="Times New Roman" w:cs="Times New Roman"/>
          <w:sz w:val="24"/>
          <w:szCs w:val="24"/>
        </w:rPr>
        <w:t>publikuar</w:t>
      </w:r>
      <w:proofErr w:type="gramEnd"/>
      <w:r w:rsidRPr="0046598A">
        <w:rPr>
          <w:rFonts w:ascii="Times New Roman" w:hAnsi="Times New Roman" w:cs="Times New Roman"/>
          <w:sz w:val="24"/>
          <w:szCs w:val="24"/>
        </w:rPr>
        <w:t xml:space="preserve"> dhe regjistruar me më pak mallra dhe/ose shërbime se sa ka në dëshminë e</w:t>
      </w:r>
      <w:r w:rsidRPr="0046598A">
        <w:rPr>
          <w:rFonts w:ascii="Times New Roman" w:hAnsi="Times New Roman" w:cs="Times New Roman"/>
          <w:spacing w:val="1"/>
          <w:sz w:val="24"/>
          <w:szCs w:val="24"/>
        </w:rPr>
        <w:t xml:space="preserve"> </w:t>
      </w:r>
      <w:r w:rsidRPr="0046598A">
        <w:rPr>
          <w:rFonts w:ascii="Times New Roman" w:hAnsi="Times New Roman" w:cs="Times New Roman"/>
          <w:spacing w:val="-1"/>
          <w:sz w:val="24"/>
          <w:szCs w:val="24"/>
        </w:rPr>
        <w:t>depozitimit.</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Zyra</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pas</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publikimit</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të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kërkesës</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fillestare</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me</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mallrat</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dhe/ose</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shërbimet</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munguara</w:t>
      </w:r>
    </w:p>
    <w:p w:rsidR="0046598A" w:rsidRPr="0046598A" w:rsidRDefault="0046598A" w:rsidP="0046598A">
      <w:pPr>
        <w:spacing w:line="235" w:lineRule="auto"/>
        <w:jc w:val="both"/>
        <w:rPr>
          <w:rFonts w:ascii="Times New Roman" w:hAnsi="Times New Roman" w:cs="Times New Roman"/>
          <w:sz w:val="24"/>
          <w:szCs w:val="24"/>
        </w:rPr>
        <w:sectPr w:rsidR="0046598A" w:rsidRPr="0046598A" w:rsidSect="0046598A">
          <w:footerReference w:type="default" r:id="rId5"/>
          <w:pgSz w:w="11910" w:h="16840"/>
          <w:pgMar w:top="1340" w:right="1340" w:bottom="1260" w:left="1320" w:header="720" w:footer="1062" w:gutter="0"/>
          <w:pgNumType w:start="1"/>
          <w:cols w:space="720"/>
        </w:sectPr>
      </w:pPr>
    </w:p>
    <w:p w:rsidR="0046598A" w:rsidRPr="0046598A" w:rsidRDefault="0046598A" w:rsidP="0046598A">
      <w:pPr>
        <w:pStyle w:val="BodyText"/>
        <w:spacing w:before="68" w:line="235" w:lineRule="auto"/>
        <w:ind w:left="120" w:right="103"/>
      </w:pPr>
      <w:r w:rsidRPr="0046598A">
        <w:lastRenderedPageBreak/>
        <w:t>në</w:t>
      </w:r>
      <w:r w:rsidRPr="0046598A">
        <w:rPr>
          <w:spacing w:val="-5"/>
        </w:rPr>
        <w:t xml:space="preserve"> </w:t>
      </w:r>
      <w:r w:rsidRPr="0046598A">
        <w:t>buletinin</w:t>
      </w:r>
      <w:r w:rsidRPr="0046598A">
        <w:rPr>
          <w:spacing w:val="-4"/>
        </w:rPr>
        <w:t xml:space="preserve"> </w:t>
      </w:r>
      <w:r w:rsidRPr="0046598A">
        <w:t>e</w:t>
      </w:r>
      <w:r w:rsidRPr="0046598A">
        <w:rPr>
          <w:spacing w:val="-5"/>
        </w:rPr>
        <w:t xml:space="preserve"> </w:t>
      </w:r>
      <w:r w:rsidRPr="0046598A">
        <w:t>PI-së</w:t>
      </w:r>
      <w:r w:rsidRPr="0046598A">
        <w:rPr>
          <w:spacing w:val="-4"/>
        </w:rPr>
        <w:t xml:space="preserve"> </w:t>
      </w:r>
      <w:r w:rsidRPr="0046598A">
        <w:t>do</w:t>
      </w:r>
      <w:r w:rsidRPr="0046598A">
        <w:rPr>
          <w:spacing w:val="-5"/>
        </w:rPr>
        <w:t xml:space="preserve"> </w:t>
      </w:r>
      <w:r w:rsidRPr="0046598A">
        <w:t>të</w:t>
      </w:r>
      <w:r w:rsidRPr="0046598A">
        <w:rPr>
          <w:spacing w:val="-4"/>
        </w:rPr>
        <w:t xml:space="preserve"> </w:t>
      </w:r>
      <w:r w:rsidRPr="0046598A">
        <w:t>vazhdojë</w:t>
      </w:r>
      <w:r w:rsidRPr="0046598A">
        <w:rPr>
          <w:spacing w:val="-4"/>
        </w:rPr>
        <w:t xml:space="preserve"> </w:t>
      </w:r>
      <w:r w:rsidRPr="0046598A">
        <w:t>procedurat</w:t>
      </w:r>
      <w:r w:rsidRPr="0046598A">
        <w:rPr>
          <w:spacing w:val="-5"/>
        </w:rPr>
        <w:t xml:space="preserve"> </w:t>
      </w:r>
      <w:r w:rsidRPr="0046598A">
        <w:t>e</w:t>
      </w:r>
      <w:r w:rsidRPr="0046598A">
        <w:rPr>
          <w:spacing w:val="-4"/>
        </w:rPr>
        <w:t xml:space="preserve"> </w:t>
      </w:r>
      <w:r w:rsidRPr="0046598A">
        <w:t>parashikuara</w:t>
      </w:r>
      <w:r w:rsidRPr="0046598A">
        <w:rPr>
          <w:spacing w:val="-5"/>
        </w:rPr>
        <w:t xml:space="preserve"> </w:t>
      </w:r>
      <w:r w:rsidRPr="0046598A">
        <w:t>në</w:t>
      </w:r>
      <w:r w:rsidRPr="0046598A">
        <w:rPr>
          <w:spacing w:val="-4"/>
        </w:rPr>
        <w:t xml:space="preserve"> </w:t>
      </w:r>
      <w:r w:rsidRPr="0046598A">
        <w:t>ligj</w:t>
      </w:r>
      <w:r w:rsidRPr="0046598A">
        <w:rPr>
          <w:spacing w:val="-4"/>
        </w:rPr>
        <w:t xml:space="preserve"> </w:t>
      </w:r>
      <w:r w:rsidRPr="0046598A">
        <w:t>apo</w:t>
      </w:r>
      <w:r w:rsidRPr="0046598A">
        <w:rPr>
          <w:spacing w:val="-5"/>
        </w:rPr>
        <w:t xml:space="preserve"> </w:t>
      </w:r>
      <w:r w:rsidRPr="0046598A">
        <w:t>në</w:t>
      </w:r>
      <w:r w:rsidRPr="0046598A">
        <w:rPr>
          <w:spacing w:val="-4"/>
        </w:rPr>
        <w:t xml:space="preserve"> </w:t>
      </w:r>
      <w:r w:rsidRPr="0046598A">
        <w:t>këtë</w:t>
      </w:r>
      <w:r w:rsidRPr="0046598A">
        <w:rPr>
          <w:spacing w:val="-5"/>
        </w:rPr>
        <w:t xml:space="preserve"> </w:t>
      </w:r>
      <w:r w:rsidRPr="0046598A">
        <w:t>rregullore</w:t>
      </w:r>
      <w:r w:rsidRPr="0046598A">
        <w:rPr>
          <w:spacing w:val="-4"/>
        </w:rPr>
        <w:t xml:space="preserve"> </w:t>
      </w:r>
      <w:r w:rsidRPr="0046598A">
        <w:t>për</w:t>
      </w:r>
      <w:r w:rsidRPr="0046598A">
        <w:rPr>
          <w:spacing w:val="-58"/>
        </w:rPr>
        <w:t xml:space="preserve"> </w:t>
      </w:r>
      <w:r w:rsidRPr="0046598A">
        <w:t>regjistrimin</w:t>
      </w:r>
      <w:r w:rsidRPr="0046598A">
        <w:rPr>
          <w:spacing w:val="-4"/>
        </w:rPr>
        <w:t xml:space="preserve"> </w:t>
      </w:r>
      <w:r w:rsidRPr="0046598A">
        <w:t>e</w:t>
      </w:r>
      <w:r w:rsidRPr="0046598A">
        <w:rPr>
          <w:spacing w:val="-3"/>
        </w:rPr>
        <w:t xml:space="preserve"> </w:t>
      </w:r>
      <w:r w:rsidRPr="0046598A">
        <w:t>saj</w:t>
      </w:r>
      <w:r w:rsidRPr="0046598A">
        <w:rPr>
          <w:spacing w:val="-4"/>
        </w:rPr>
        <w:t xml:space="preserve"> </w:t>
      </w:r>
      <w:r w:rsidRPr="0046598A">
        <w:t>për</w:t>
      </w:r>
      <w:r w:rsidRPr="0046598A">
        <w:rPr>
          <w:spacing w:val="-3"/>
        </w:rPr>
        <w:t xml:space="preserve"> </w:t>
      </w:r>
      <w:r w:rsidRPr="0046598A">
        <w:t>mallrat</w:t>
      </w:r>
      <w:r w:rsidRPr="0046598A">
        <w:rPr>
          <w:spacing w:val="-3"/>
        </w:rPr>
        <w:t xml:space="preserve"> </w:t>
      </w:r>
      <w:r w:rsidRPr="0046598A">
        <w:t>dhe/ose</w:t>
      </w:r>
      <w:r w:rsidRPr="0046598A">
        <w:rPr>
          <w:spacing w:val="-4"/>
        </w:rPr>
        <w:t xml:space="preserve"> </w:t>
      </w:r>
      <w:r w:rsidRPr="0046598A">
        <w:t>shërbimet</w:t>
      </w:r>
      <w:r w:rsidRPr="0046598A">
        <w:rPr>
          <w:spacing w:val="-3"/>
        </w:rPr>
        <w:t xml:space="preserve"> </w:t>
      </w:r>
      <w:r w:rsidRPr="0046598A">
        <w:t>e</w:t>
      </w:r>
      <w:r w:rsidRPr="0046598A">
        <w:rPr>
          <w:spacing w:val="-3"/>
        </w:rPr>
        <w:t xml:space="preserve"> </w:t>
      </w:r>
      <w:r w:rsidRPr="0046598A">
        <w:t>munguara.</w:t>
      </w:r>
    </w:p>
    <w:p w:rsidR="0046598A" w:rsidRPr="0046598A" w:rsidRDefault="0046598A" w:rsidP="0046598A">
      <w:pPr>
        <w:pStyle w:val="ListParagraph"/>
        <w:widowControl w:val="0"/>
        <w:numPr>
          <w:ilvl w:val="1"/>
          <w:numId w:val="1"/>
        </w:numPr>
        <w:tabs>
          <w:tab w:val="left" w:pos="758"/>
        </w:tabs>
        <w:autoSpaceDE w:val="0"/>
        <w:autoSpaceDN w:val="0"/>
        <w:spacing w:after="0" w:line="235" w:lineRule="auto"/>
        <w:ind w:left="119" w:right="99" w:firstLine="284"/>
        <w:contextualSpacing w:val="0"/>
        <w:jc w:val="both"/>
        <w:rPr>
          <w:rFonts w:ascii="Times New Roman" w:hAnsi="Times New Roman" w:cs="Times New Roman"/>
          <w:sz w:val="24"/>
          <w:szCs w:val="24"/>
        </w:rPr>
      </w:pPr>
      <w:proofErr w:type="gramStart"/>
      <w:r w:rsidRPr="0046598A">
        <w:rPr>
          <w:rFonts w:ascii="Times New Roman" w:hAnsi="Times New Roman" w:cs="Times New Roman"/>
          <w:sz w:val="24"/>
          <w:szCs w:val="24"/>
        </w:rPr>
        <w:t>publikuar</w:t>
      </w:r>
      <w:proofErr w:type="gramEnd"/>
      <w:r w:rsidRPr="0046598A">
        <w:rPr>
          <w:rFonts w:ascii="Times New Roman" w:hAnsi="Times New Roman" w:cs="Times New Roman"/>
          <w:sz w:val="24"/>
          <w:szCs w:val="24"/>
        </w:rPr>
        <w:t xml:space="preserve"> me më pak mallra dhe/ose shërbime nga sa ka në dëshminë e depozitimit dhe</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regjistruar me të gjitha mallrat dhe/ose shërbimet. Në këtë rast, zyra do të bëjë korrigjimin e</w:t>
      </w:r>
      <w:r w:rsidRPr="0046598A">
        <w:rPr>
          <w:rFonts w:ascii="Times New Roman" w:hAnsi="Times New Roman" w:cs="Times New Roman"/>
          <w:spacing w:val="1"/>
          <w:sz w:val="24"/>
          <w:szCs w:val="24"/>
        </w:rPr>
        <w:t xml:space="preserve"> </w:t>
      </w:r>
      <w:r w:rsidRPr="0046598A">
        <w:rPr>
          <w:rFonts w:ascii="Times New Roman" w:hAnsi="Times New Roman" w:cs="Times New Roman"/>
          <w:w w:val="95"/>
          <w:sz w:val="24"/>
          <w:szCs w:val="24"/>
        </w:rPr>
        <w:t>certifikatës së markës së regjistruar, dhe, pas publikimit të kërkesës fillestare me mallrat dhe/ose</w:t>
      </w:r>
      <w:r w:rsidRPr="0046598A">
        <w:rPr>
          <w:rFonts w:ascii="Times New Roman" w:hAnsi="Times New Roman" w:cs="Times New Roman"/>
          <w:spacing w:val="1"/>
          <w:w w:val="95"/>
          <w:sz w:val="24"/>
          <w:szCs w:val="24"/>
        </w:rPr>
        <w:t xml:space="preserve"> </w:t>
      </w:r>
      <w:r w:rsidRPr="0046598A">
        <w:rPr>
          <w:rFonts w:ascii="Times New Roman" w:hAnsi="Times New Roman" w:cs="Times New Roman"/>
          <w:sz w:val="24"/>
          <w:szCs w:val="24"/>
        </w:rPr>
        <w:t>shërbimet</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munguara</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buletinin</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PI-së,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do</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të</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vazhdojë</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procedurat</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parashikuara</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ligj</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apo</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në</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këtë</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rregullore</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regjistrimin</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e</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saj</w:t>
      </w:r>
      <w:r w:rsidRPr="0046598A">
        <w:rPr>
          <w:rFonts w:ascii="Times New Roman" w:hAnsi="Times New Roman" w:cs="Times New Roman"/>
          <w:spacing w:val="-7"/>
          <w:sz w:val="24"/>
          <w:szCs w:val="24"/>
        </w:rPr>
        <w:t xml:space="preserve"> </w:t>
      </w:r>
      <w:r w:rsidRPr="0046598A">
        <w:rPr>
          <w:rFonts w:ascii="Times New Roman" w:hAnsi="Times New Roman" w:cs="Times New Roman"/>
          <w:sz w:val="24"/>
          <w:szCs w:val="24"/>
        </w:rPr>
        <w:t>për</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këto</w:t>
      </w:r>
      <w:r w:rsidRPr="0046598A">
        <w:rPr>
          <w:rFonts w:ascii="Times New Roman" w:hAnsi="Times New Roman" w:cs="Times New Roman"/>
          <w:spacing w:val="-7"/>
          <w:sz w:val="24"/>
          <w:szCs w:val="24"/>
        </w:rPr>
        <w:t xml:space="preserve"> </w:t>
      </w:r>
      <w:r w:rsidRPr="0046598A">
        <w:rPr>
          <w:rFonts w:ascii="Times New Roman" w:hAnsi="Times New Roman" w:cs="Times New Roman"/>
          <w:sz w:val="24"/>
          <w:szCs w:val="24"/>
        </w:rPr>
        <w:t>mallra</w:t>
      </w:r>
      <w:r w:rsidRPr="0046598A">
        <w:rPr>
          <w:rFonts w:ascii="Times New Roman" w:hAnsi="Times New Roman" w:cs="Times New Roman"/>
          <w:spacing w:val="-5"/>
          <w:sz w:val="24"/>
          <w:szCs w:val="24"/>
        </w:rPr>
        <w:t xml:space="preserve"> </w:t>
      </w:r>
      <w:r w:rsidRPr="0046598A">
        <w:rPr>
          <w:rFonts w:ascii="Times New Roman" w:hAnsi="Times New Roman" w:cs="Times New Roman"/>
          <w:sz w:val="24"/>
          <w:szCs w:val="24"/>
        </w:rPr>
        <w:t>dhe/ose</w:t>
      </w:r>
      <w:r w:rsidRPr="0046598A">
        <w:rPr>
          <w:rFonts w:ascii="Times New Roman" w:hAnsi="Times New Roman" w:cs="Times New Roman"/>
          <w:spacing w:val="-6"/>
          <w:sz w:val="24"/>
          <w:szCs w:val="24"/>
        </w:rPr>
        <w:t xml:space="preserve"> </w:t>
      </w:r>
      <w:r w:rsidRPr="0046598A">
        <w:rPr>
          <w:rFonts w:ascii="Times New Roman" w:hAnsi="Times New Roman" w:cs="Times New Roman"/>
          <w:sz w:val="24"/>
          <w:szCs w:val="24"/>
        </w:rPr>
        <w:t>shërbime.</w:t>
      </w:r>
    </w:p>
    <w:p w:rsidR="0046598A" w:rsidRPr="0046598A" w:rsidRDefault="0046598A" w:rsidP="0046598A">
      <w:pPr>
        <w:pStyle w:val="ListParagraph"/>
        <w:widowControl w:val="0"/>
        <w:numPr>
          <w:ilvl w:val="0"/>
          <w:numId w:val="1"/>
        </w:numPr>
        <w:tabs>
          <w:tab w:val="left" w:pos="639"/>
        </w:tabs>
        <w:autoSpaceDE w:val="0"/>
        <w:autoSpaceDN w:val="0"/>
        <w:spacing w:after="0" w:line="235" w:lineRule="auto"/>
        <w:ind w:right="105" w:firstLine="284"/>
        <w:contextualSpacing w:val="0"/>
        <w:jc w:val="both"/>
        <w:rPr>
          <w:rFonts w:ascii="Times New Roman" w:hAnsi="Times New Roman" w:cs="Times New Roman"/>
          <w:sz w:val="24"/>
          <w:szCs w:val="24"/>
        </w:rPr>
      </w:pPr>
      <w:r w:rsidRPr="0046598A">
        <w:rPr>
          <w:rFonts w:ascii="Times New Roman" w:hAnsi="Times New Roman" w:cs="Times New Roman"/>
          <w:spacing w:val="-1"/>
          <w:sz w:val="24"/>
          <w:szCs w:val="24"/>
        </w:rPr>
        <w:t>Kërkesa</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për</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ndarjen</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e</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markës</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së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regjistruar</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do</w:t>
      </w:r>
      <w:r w:rsidRPr="0046598A">
        <w:rPr>
          <w:rFonts w:ascii="Times New Roman" w:hAnsi="Times New Roman" w:cs="Times New Roman"/>
          <w:spacing w:val="-13"/>
          <w:sz w:val="24"/>
          <w:szCs w:val="24"/>
        </w:rPr>
        <w:t xml:space="preserve"> </w:t>
      </w:r>
      <w:r w:rsidRPr="0046598A">
        <w:rPr>
          <w:rFonts w:ascii="Times New Roman" w:hAnsi="Times New Roman" w:cs="Times New Roman"/>
          <w:spacing w:val="-1"/>
          <w:sz w:val="24"/>
          <w:szCs w:val="24"/>
        </w:rPr>
        <w:t>të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jetë</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sipas</w:t>
      </w:r>
      <w:r w:rsidRPr="0046598A">
        <w:rPr>
          <w:rFonts w:ascii="Times New Roman" w:hAnsi="Times New Roman" w:cs="Times New Roman"/>
          <w:spacing w:val="-14"/>
          <w:sz w:val="24"/>
          <w:szCs w:val="24"/>
        </w:rPr>
        <w:t xml:space="preserve"> </w:t>
      </w:r>
      <w:r w:rsidRPr="0046598A">
        <w:rPr>
          <w:rFonts w:ascii="Times New Roman" w:hAnsi="Times New Roman" w:cs="Times New Roman"/>
          <w:spacing w:val="-1"/>
          <w:sz w:val="24"/>
          <w:szCs w:val="24"/>
        </w:rPr>
        <w:t>formularit</w:t>
      </w:r>
      <w:r w:rsidRPr="0046598A">
        <w:rPr>
          <w:rFonts w:ascii="Times New Roman" w:hAnsi="Times New Roman" w:cs="Times New Roman"/>
          <w:spacing w:val="-13"/>
          <w:sz w:val="24"/>
          <w:szCs w:val="24"/>
        </w:rPr>
        <w:t xml:space="preserve"> </w:t>
      </w:r>
      <w:r w:rsidRPr="0046598A">
        <w:rPr>
          <w:rFonts w:ascii="Times New Roman" w:hAnsi="Times New Roman" w:cs="Times New Roman"/>
          <w:sz w:val="24"/>
          <w:szCs w:val="24"/>
        </w:rPr>
        <w:t>që</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bashkëlidhet</w:t>
      </w:r>
      <w:r w:rsidRPr="0046598A">
        <w:rPr>
          <w:rFonts w:ascii="Times New Roman" w:hAnsi="Times New Roman" w:cs="Times New Roman"/>
          <w:spacing w:val="-14"/>
          <w:sz w:val="24"/>
          <w:szCs w:val="24"/>
        </w:rPr>
        <w:t xml:space="preserve"> </w:t>
      </w:r>
      <w:r w:rsidRPr="0046598A">
        <w:rPr>
          <w:rFonts w:ascii="Times New Roman" w:hAnsi="Times New Roman" w:cs="Times New Roman"/>
          <w:sz w:val="24"/>
          <w:szCs w:val="24"/>
        </w:rPr>
        <w:t>këtij</w:t>
      </w:r>
      <w:r w:rsidRPr="0046598A">
        <w:rPr>
          <w:rFonts w:ascii="Times New Roman" w:hAnsi="Times New Roman" w:cs="Times New Roman"/>
          <w:spacing w:val="-57"/>
          <w:sz w:val="24"/>
          <w:szCs w:val="24"/>
        </w:rPr>
        <w:t xml:space="preserve"> </w:t>
      </w:r>
      <w:r w:rsidRPr="0046598A">
        <w:rPr>
          <w:rFonts w:ascii="Times New Roman" w:hAnsi="Times New Roman" w:cs="Times New Roman"/>
          <w:sz w:val="24"/>
          <w:szCs w:val="24"/>
        </w:rPr>
        <w:t>vendimi.</w:t>
      </w:r>
      <w:proofErr w:type="gramStart"/>
      <w:r w:rsidRPr="0046598A">
        <w:rPr>
          <w:rFonts w:ascii="Times New Roman" w:hAnsi="Times New Roman" w:cs="Times New Roman"/>
          <w:sz w:val="24"/>
          <w:szCs w:val="24"/>
        </w:rPr>
        <w:t>”.</w:t>
      </w:r>
      <w:proofErr w:type="gramEnd"/>
    </w:p>
    <w:p w:rsidR="0046598A" w:rsidRPr="0046598A" w:rsidRDefault="0046598A" w:rsidP="0046598A">
      <w:pPr>
        <w:rPr>
          <w:rFonts w:ascii="Times New Roman" w:hAnsi="Times New Roman" w:cs="Times New Roman"/>
          <w:i/>
          <w:w w:val="95"/>
          <w:sz w:val="24"/>
          <w:szCs w:val="24"/>
        </w:rPr>
      </w:pPr>
    </w:p>
    <w:p w:rsidR="0046598A" w:rsidRPr="0046598A" w:rsidRDefault="0046598A" w:rsidP="0046598A">
      <w:pPr>
        <w:rPr>
          <w:rFonts w:ascii="Times New Roman" w:hAnsi="Times New Roman" w:cs="Times New Roman"/>
          <w:i/>
          <w:w w:val="95"/>
          <w:sz w:val="24"/>
          <w:szCs w:val="24"/>
        </w:rPr>
      </w:pPr>
    </w:p>
    <w:p w:rsidR="00B14C42" w:rsidRPr="0046598A" w:rsidRDefault="009A47D1" w:rsidP="0046598A">
      <w:pPr>
        <w:jc w:val="center"/>
        <w:rPr>
          <w:rFonts w:ascii="Times New Roman" w:hAnsi="Times New Roman" w:cs="Times New Roman"/>
          <w:sz w:val="24"/>
          <w:szCs w:val="24"/>
        </w:rPr>
      </w:pPr>
      <w:r w:rsidRPr="0046598A">
        <w:rPr>
          <w:rFonts w:ascii="Times New Roman" w:hAnsi="Times New Roman" w:cs="Times New Roman"/>
          <w:sz w:val="24"/>
          <w:szCs w:val="24"/>
        </w:rPr>
        <w:t>Neni 16</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Pretendimi për prioritet</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Kërkesa për prioritet përmban: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datën e depozitimit të aplikimit më të hershëm;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numrin e aplikimit më të hershëm; dhe </w:t>
      </w:r>
    </w:p>
    <w:p w:rsidR="00B14C42"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1.3 zyrën në të cilën kërkesa më e hershme është depozituar ose ekspozitën në të cilën janë ekspozuar mallrat dhe/ose shërbimet.</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Kërkesa për prioritet duhet të shënohet në formularin e aplikimit për regjistrimin e markës. Në rast se kërkohet prioritet, aplikanti, brenda 3 (tre) muajve nga data e paraqitjes së kërkesës për prioritet, duhet të depozitojë në DPPI dokumentin e prioritetit, sipas nenit 147 të ligjit, ose certifikatën e lëshuar nga autoriteti kompetent përfaqësues i ekspozitës ku janë paraqitur mallrat dhe/ose shërbimet, sipas nenit 148 të ligjit. </w:t>
      </w:r>
      <w:proofErr w:type="gramStart"/>
      <w:r w:rsidRPr="0046598A">
        <w:rPr>
          <w:rFonts w:ascii="Times New Roman" w:hAnsi="Times New Roman" w:cs="Times New Roman"/>
          <w:sz w:val="24"/>
          <w:szCs w:val="24"/>
        </w:rPr>
        <w:t>Dokumenti i prioritetit, origjinali ose kopja e njësuar me origjinalin, duhet të depozitohet i përkthyer në gjuhën shqipe.</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Aplikanti mund të kërkojë prioritet për një, disa ose të gjitha klasat e mallrave dhe/ose shërbimeve, si dhe/ose me data të ndryshme prioriteti për secilën prej tyre, duke depozituar dokumentet përkatëse të prioritetit.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 rast se aplikanti, brenda 3 (tre) muajve nga data e paraqitjes së kërkesës për prioritet, nuk depoziton dokumentin e prioritetit të zyrës ku është depozituar aplikimi më i hershëm, sipas nenit 147 të ligjit ose certifikatën e autoritetit përfaqësues të ekspozitës, sipas nenit 148 të ligjit, DPPI-ja e refuzon kërkesën për prioritet.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Prioriteti i fituar në bazë të dispozitave të ligjit dhe të kësaj rregulloreje e bën datën e prioritetit të jetë datë depozitimi e aplikimit për regjistrim marke në DPPI vetëm për efekt të përcaktimit se cili aplikim gëzon një të drejtë të mëparshme.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lastRenderedPageBreak/>
        <w:t>Neni 17</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Përjashtimet nga mbrojtja</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Përjashtimi nga mbrojtja i elementeve të një marke që nuk mund të mbrohen nuk përbën pengesë për vazhdimin e procedurës së ekzaminimit për shkaqe absolute nga zyra.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Kur një markë përbëhet nga një kombinim elementesh dhe secili prej tyre në vetvete nuk është qartësisht i dallueshëm, nuk është e nevojshme të depozitohet për secilin element një deklaratë për përjashtim nga mbrojtja. Në një rast të tillë, përjashtimi do të konsiderohet për të gjitha elementet në tërësi.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Kur aplikanti kërkon përjashtimin nga mbrojtja të një elementi jodallues në aplikimin e tij,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përjashtim do të qëndrojë edhe nëse zyra nuk e konsideron atë të nevojshëm.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Përjashtimet nga mbrojtja të elementeve dalluese do të refuzohen nga zyra, nëse nga këto përjashtime do të rezultonte një markë pa një mbrojtje të qartë.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18</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Dorëheqja nga aplikimi</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Aplikanti ka të drejtë të heqë dorë nga aplikimi për një markë në çdo kohë para se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të jetë marrë vendimi për regjistrimin e markës.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Nëse kërkesa për dorëheqje nga aplikimi bëhet para se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zyra të ketë filluar ekzaminimin formal të aplikimit, sipas nenit 21 të kësaj rregulloreje, zyra i kthen aplikantit 80% të shumës së paguar në momentin e aplikimit.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Dorëheqja bëhet e vlefshme në datën e paraqitjes në zyrë dhe nuk mund të revokohet.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KREU III</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PROCEDURAT E REGJISTRIMIT</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19</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Ekzaminimi i kushteve për depozitimin e aplikimit</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Zyra ekzaminon nëse aplikimi për markë përmbush kushtet e parashikuara në pikën 4, të nenit 145 të ligjit. </w:t>
      </w:r>
      <w:proofErr w:type="gramStart"/>
      <w:r w:rsidRPr="0046598A">
        <w:rPr>
          <w:rFonts w:ascii="Times New Roman" w:hAnsi="Times New Roman" w:cs="Times New Roman"/>
          <w:sz w:val="24"/>
          <w:szCs w:val="24"/>
        </w:rPr>
        <w:t>Nëse një aplikim për markë i plotëson këto kushte, zyra lëshon dëshminë e depozitimit për aplikimin dhe si datë depozitimi caktohet data e paraqitjes së aplikimit.</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Kur aplikimi për markë nuk i plotëson kushtet e pikës 4, të nenit 145 të ligjit, zyra i kërkon aplikantit të plotësojë të metat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marrjes së njoftimit.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Nëse aplikimi i plotëson këto kushte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të caktuar në paragrafin e mëparshëm, zyra lëshon dëshminë e depozitimit dhe cakton si datë depozitimi për aplikimin datën kur përgjigjja për plotësimin e të metave paraqitet në zyrë. </w:t>
      </w:r>
    </w:p>
    <w:p w:rsidR="00B14C42"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4.Nëse</w:t>
      </w:r>
      <w:proofErr w:type="gramEnd"/>
      <w:r w:rsidRPr="0046598A">
        <w:rPr>
          <w:rFonts w:ascii="Times New Roman" w:hAnsi="Times New Roman" w:cs="Times New Roman"/>
          <w:sz w:val="24"/>
          <w:szCs w:val="24"/>
        </w:rPr>
        <w:t xml:space="preserve"> të metat nuk plotësohen brenda afatit 2- mujor, zyra refuzon aplikimin dhe njofton aplikantin për vendimin e refuzimit. Vendimi i refuzimit mund të apelohet në Dhomën për Shfuqizim/Zhvlerësim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marrjes së vendimit.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20</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Dëshmia e depozitimit</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Dëshmia e depozitimit përmban të dhënat e mëposhtme: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 Datën e depozitimit;</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Numrin e aplikimit: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Emrin dhe adresën e aplikantit;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Përfaqësimin e markës;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Listën e mallrave dhe/ose shërbimeve;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Të dhëna të tjera të deklaruara në formularin e aplikimit për regjistrimin kombëtar të markës.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21</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Ekzaminimi formal i aplikimit për regjistrim marke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Ekzaminuesi i ekzaminon aplikimet për markë sipas radhës së paraqitjes së tyre në DPPI në përputhje me pikat 4 e 5 të nenit 150 të ligjit.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Nëse aplikanti kërkon ekzaminim jashtë numrit rendor (të përshpejtuar) për një aplikim për markë, duke bërë pagesën përkatëse, zyra e ekzaminon aplikimin për markë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kohe sa më të shkurtër që të jetë e mundur, duke mos respektuar numrin rendor.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Ekzaminimi i aplikimit për markë bëhet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3 (tre) muajve nga data e paraqitjes së tij. </w:t>
      </w:r>
      <w:proofErr w:type="gramStart"/>
      <w:r w:rsidRPr="0046598A">
        <w:rPr>
          <w:rFonts w:ascii="Times New Roman" w:hAnsi="Times New Roman" w:cs="Times New Roman"/>
          <w:sz w:val="24"/>
          <w:szCs w:val="24"/>
        </w:rPr>
        <w:t>Brenda kësaj periudhe ekzaminuesi shqyrton nëse aplikimi është në përputhje me nenin 145 të ligjit dhe kreun II të kësaj rregulloreje.</w:t>
      </w:r>
      <w:proofErr w:type="gramEnd"/>
      <w:r w:rsidRPr="0046598A">
        <w:rPr>
          <w:rFonts w:ascii="Times New Roman" w:hAnsi="Times New Roman" w:cs="Times New Roman"/>
          <w:sz w:val="24"/>
          <w:szCs w:val="24"/>
        </w:rPr>
        <w:t xml:space="preser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Nëse aplikimi për markë nuk përmbush kushtet e parashikuara në nenin 145 të ligjit dhe kreun II të kësaj rregulloreje, DPPI-ja njofton aplikuesin të plotësojë të metat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3 muajve nga data e marrjes së njoftimit.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Afati për paraqitjen e plotësimit të të metave zgjatet deri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muaj shtesë, nëse aplikuesi paraqet, brenda periudhës 3-mujore të specifikuar më lart, një kërkesë me shkrim për këtë qëllim </w:t>
      </w:r>
      <w:r w:rsidRPr="0046598A">
        <w:rPr>
          <w:rFonts w:ascii="Times New Roman" w:hAnsi="Times New Roman" w:cs="Times New Roman"/>
          <w:sz w:val="24"/>
          <w:szCs w:val="24"/>
        </w:rPr>
        <w:lastRenderedPageBreak/>
        <w:t xml:space="preserve">dhe paguan tarifën përkatëse. Nëse plotësimi nuk bëhet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afateve të parashikuara në pikat 4 e 5 të këtij neni, zyra e refuzon aplikimin.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vendim mund të apelohet nga aplikanti në Dhomën për Shfuqizim/Zhvlerësim brenda 1 muaji nga data e marrjes së vendimit.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Pasi merr përgjigjen nga aplikanti për plotësimin e të metave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3-mujor, ekzaminuesi e shqyrton përgjigjen brenda 1 muaji nga data e marrjes së përgjigjes për plotësimin e të metave.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7. Nëse aplikanti në përgjigjen e tij sërish nuk i ka plotësuar të metat, zyra e refuzon aplikimin dhe i njofton aplikantit aktin e refuzimit.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Nëse aplikanti në përgjigjen e tij i ka plotësuar pjesërisht të metat në lidhje me listën e mallrave dhe/ose shërbimeve, zyra heq nga lista mallrat dhe/ose shërbimet që nuk janë saktësuar dhe qartësuar dhe i njofton aplikantit vendimin e marrë.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vendim mund të apelohet nga aplikanti në Dhomën për Shfuqizim/Zhvlerësim brenda 1 muaji nga data e marrjes së aktit. </w:t>
      </w:r>
    </w:p>
    <w:p w:rsidR="00B14C42" w:rsidRPr="0046598A" w:rsidRDefault="009A47D1" w:rsidP="00B14C42">
      <w:pPr>
        <w:jc w:val="center"/>
        <w:rPr>
          <w:rFonts w:ascii="Times New Roman" w:hAnsi="Times New Roman" w:cs="Times New Roman"/>
          <w:sz w:val="24"/>
          <w:szCs w:val="24"/>
        </w:rPr>
      </w:pPr>
      <w:r w:rsidRPr="0046598A">
        <w:rPr>
          <w:rFonts w:ascii="Times New Roman" w:hAnsi="Times New Roman" w:cs="Times New Roman"/>
          <w:sz w:val="24"/>
          <w:szCs w:val="24"/>
        </w:rPr>
        <w:t>Neni 22</w:t>
      </w:r>
    </w:p>
    <w:p w:rsidR="00B14C42" w:rsidRPr="0046598A" w:rsidRDefault="009A47D1" w:rsidP="00B14C42">
      <w:pPr>
        <w:jc w:val="center"/>
        <w:rPr>
          <w:rFonts w:ascii="Times New Roman" w:hAnsi="Times New Roman" w:cs="Times New Roman"/>
          <w:b/>
          <w:sz w:val="24"/>
          <w:szCs w:val="24"/>
        </w:rPr>
      </w:pPr>
      <w:r w:rsidRPr="0046598A">
        <w:rPr>
          <w:rFonts w:ascii="Times New Roman" w:hAnsi="Times New Roman" w:cs="Times New Roman"/>
          <w:b/>
          <w:sz w:val="24"/>
          <w:szCs w:val="24"/>
        </w:rPr>
        <w:t>Ekzaminimi për shkaqe absolute</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Zyra ekzaminon aplikimin për markë për shkaqe absolute, sipas nenit 142 të ligjit.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Kur konstaton se aplikimi për markë nuk është në përputhje me nenet 140 e 142 të ligjit ose kur konstaton se aplikimi nuk është në përputhje me këto nene vetëm për një pjesë të mallrave dhe/ose shërbimeve, zyra njofton aplikantin, duke dhënë argumente konkrete për refuzimin pjesërisht ose tërësisht të aplikimit për shkaqe absolute dhe e fton atë të paraqesë shpjegime dhe/ose dokumente shtesë në lidhje me njoftimin e zyrës ose të japë dorëheqjen nga aplikimi brenda 2 muajve nga data e marrjes së njoftimit.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afat mund të zgjatet me dy muaj, nëse aplikuesi paraqet brenda këtij afati dymujor një kërkesë me shkrim për zgjatje afati dhe paguan tarifën përkatëse.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Pas marrjes së përgjigjes nga aplikanti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të caktuar në pikën 2 të këtij neni, ekzaminuesi e shqyrton përgjigjen brenda 1 (një) muaji nga paraqitja e saj.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Nëse aplikanti nuk i paraqet shpjegimet dhe/ose dokumentet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dymujor ose zyra nuk i konsideron të mjaftueshme ose të bazuara shpjegimet/dokumentet e paraqitura, zyra refuzon, sipas rastit, pjesërisht apo tërësisht, aplikimin dhe i njofton aplikantit vendimin e refuzimit.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Nëse një element konsiderohet nga zyra si jodallues, element i cili zë pjesën më të madhe ose kryesore të përfaqësimit (pamjes) të markës, zyra e refuzon regjistrimin e aplikimit edhe kur aplikanti kërkon përjashtimin nga mbrojtja të këtij elementi.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Nëse pas njoftimit të zyrës aplikanti nuk kërkon përjashtimin e një ose disa elementeve jodalluese të markës, zyra refuzon mbrojtjen e këtyre elementeve dhe i njofton aplikantit </w:t>
      </w:r>
      <w:r w:rsidRPr="0046598A">
        <w:rPr>
          <w:rFonts w:ascii="Times New Roman" w:hAnsi="Times New Roman" w:cs="Times New Roman"/>
          <w:sz w:val="24"/>
          <w:szCs w:val="24"/>
        </w:rPr>
        <w:lastRenderedPageBreak/>
        <w:t xml:space="preserve">vendimin e marrë, i cili mund të ankimohet në Dhomën e Shqyrtimit të Kundërshtimeve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marrjes së vendimit nga aplikanti.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Marka nuk mund të regjistrohet nëse është identike me një markë të mëparshme dhe mallrat dhe/ose shërbimet e tyre janë të njëjta apo të ngjashme, si edhe në rastet kur mallrat dhe/ose shërbimet e njërës lidhen ngushtësisht me ato të tjetrës.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Markat </w:t>
      </w:r>
      <w:proofErr w:type="gramStart"/>
      <w:r w:rsidRPr="0046598A">
        <w:rPr>
          <w:rFonts w:ascii="Times New Roman" w:hAnsi="Times New Roman" w:cs="Times New Roman"/>
          <w:sz w:val="24"/>
          <w:szCs w:val="24"/>
        </w:rPr>
        <w:t>do</w:t>
      </w:r>
      <w:proofErr w:type="gramEnd"/>
      <w:r w:rsidRPr="0046598A">
        <w:rPr>
          <w:rFonts w:ascii="Times New Roman" w:hAnsi="Times New Roman" w:cs="Times New Roman"/>
          <w:sz w:val="24"/>
          <w:szCs w:val="24"/>
        </w:rPr>
        <w:t xml:space="preserve"> të konsiderohen identike kur në pamje të parë ato nuk dallojnë ose ndryshojnë vetëm në aspekte të parëndësishme nga njëra-tjetra.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9. Nëse zyra konstaton se një aplikim për markë në shqyrtim është identik me një markë të mëparshme, zyra njofton aplikantin me shkrim për këtë fakt.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10. Nëse aplikanti i një marke të mëvonshme kërkon pezullimin e ekzaminimit të aplikimit, pasi ka filluar të negociojë me aplikantin ose pronarin e një marke të mëparshme për zgjidhjen e konfliktit me këtë të fundit, zyra e pranon kërkesën për pezullim, nëse është e mbështetur në prova shkresore që tregojnë fillimin ose ekzistencën e negociatave midis palëve dhe vendos pezullimin e ekzaminimit për aplikimin e markës së mëvonshme deri në përfundimin e negociatave.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Zyra ka të drejtë,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herë që e konsideron të nevojshme, të kërkojë informacion nga aplikanti i markës së mëvonshme për ecurinë e negociatave midis palëve. Në rast se aplikanti i markës së mëvonshme nuk paraqet prova shkresore në lidhje me negociatat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marrjes së njoftimit të zyrës, kjo e fundit shfuqizon vendimin e pezullimit dhe vazhdon procedurat. </w:t>
      </w:r>
    </w:p>
    <w:p w:rsidR="00B14C42"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Nëse aplikimi i markës së mëparshme refuzohet me vendim të formës së prerë, zyra vazhdon ekzaminimin e aplikimit të markës së mëvonshme.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Kur zyra konstaton se një markë e aplikuar më vonë për regjistrim është identike me një markë të mëparshme të regjistruar, për të cilën afati 10- vjeçar i ripërtëritjes ka përfunduar, por është ende brenda afatit 6-mujor shtesë të parashikuar në pikën 2 të nenit 164 të ligjit, zyra e pezullon procedurën e regjistrimit të markës së mëvonshme, deri në përfundim të këtij afati.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Nëse nuk paraqitet kërkesa për ripërtëritjen e markës së mëparshme, sipas pikës 13 të këtij neni, pezullimi përfundon dhe zyra vijon procedurën e ekzaminimit të aplikimit të markës së mëvonshme. Nëse marka e mëparshme ripërtërihet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6-mujor shtesë, sipas pikës 13 të këtij neni, pezullimi përfundon dhe zyra vepron sipas pikës 9 të këtij neni.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15. Nëse e gjykon të nevojshme, zyra ka të drejtë të kërkojë dokumente ose deklarata nga një aplikant që ka paraqitur një aplikim për markë gjatë shqyrtimit të aplikimit për baza absolute.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16. Mbi bazën e një observimi të depozituar nga një palë e tretë, sipas nenit 151/a të ligjit, zyra shqyrton observimin me anën e Dhomës për Shqyrtimin e Kundërshtimeve dhe, kur është e </w:t>
      </w:r>
      <w:r w:rsidRPr="0046598A">
        <w:rPr>
          <w:rFonts w:ascii="Times New Roman" w:hAnsi="Times New Roman" w:cs="Times New Roman"/>
          <w:sz w:val="24"/>
          <w:szCs w:val="24"/>
        </w:rPr>
        <w:lastRenderedPageBreak/>
        <w:t xml:space="preserve">përshtatshme, mund të riçelë me iniciativën e saj procedurën e ekzaminimit për shkaqe absolute në çdo kohë, deri para regjistrimit të markës. </w:t>
      </w:r>
      <w:proofErr w:type="gramStart"/>
      <w:r w:rsidRPr="0046598A">
        <w:rPr>
          <w:rFonts w:ascii="Times New Roman" w:hAnsi="Times New Roman" w:cs="Times New Roman"/>
          <w:sz w:val="24"/>
          <w:szCs w:val="24"/>
        </w:rPr>
        <w:t>Nëse zyra vendos të riçelë procedurën e ekzaminimit, ajo vijon më tej sipas pikave 3, 4 e 5, të nenit 151/a, të ligjit.</w:t>
      </w:r>
      <w:proofErr w:type="gramEnd"/>
      <w:r w:rsidRPr="0046598A">
        <w:rPr>
          <w:rFonts w:ascii="Times New Roman" w:hAnsi="Times New Roman" w:cs="Times New Roman"/>
          <w:sz w:val="24"/>
          <w:szCs w:val="24"/>
        </w:rPr>
        <w:t xml:space="preserve">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23</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Raporti i hetimit</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Gjatë ekzaminimit për shkaqe absolute të aplikimit për markë, zyra harton një raport hetimi ku do të renditen të gjitha markat ose aplikimet për marka të mëparshme që rezultojnë nga hetimi në bazën e të dhënave të zyrës, mbi bazën e të cilave mund të kundërshtohet regjistrimi i aplikimit për markë, në bazë të nenit 143 të ligjit. </w:t>
      </w:r>
      <w:proofErr w:type="gramStart"/>
      <w:r w:rsidRPr="0046598A">
        <w:rPr>
          <w:rFonts w:ascii="Times New Roman" w:hAnsi="Times New Roman" w:cs="Times New Roman"/>
          <w:sz w:val="24"/>
          <w:szCs w:val="24"/>
        </w:rPr>
        <w:t>Raporti i hetimit përmban datën e depozitimit, elementet fjalë, përfaqësimin e markës, emrin e pronarit ose aplikantit dhe klasat e mallrave dhe/ose të shërbimeve, sipas klasifikimit të Nicës.</w:t>
      </w:r>
      <w:proofErr w:type="gramEnd"/>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Raporti i hartuar në bazë të pikës 1 të këtij neni i dërgohet një aplikanti vetëm në rast se ai e ka kërkuar raportin e hetimit në aplikimin për regjistrimin e markës dhe ka paguar tarifën për hetimin.</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 Menjëherë pas publikimit të aplikimit për regjistrim marke, zyra njofton përfaqësuesit e autorizuar dhe/ose pronarët e markave apo aplikimeve të mëparshme, që renditen në raportin e hetimit, për publikimin e aplikimit për markë, pavarësisht nëse është kërkuar ose </w:t>
      </w:r>
      <w:proofErr w:type="gramStart"/>
      <w:r w:rsidRPr="0046598A">
        <w:rPr>
          <w:rFonts w:ascii="Times New Roman" w:hAnsi="Times New Roman" w:cs="Times New Roman"/>
          <w:sz w:val="24"/>
          <w:szCs w:val="24"/>
        </w:rPr>
        <w:t>jo</w:t>
      </w:r>
      <w:proofErr w:type="gramEnd"/>
      <w:r w:rsidRPr="0046598A">
        <w:rPr>
          <w:rFonts w:ascii="Times New Roman" w:hAnsi="Times New Roman" w:cs="Times New Roman"/>
          <w:sz w:val="24"/>
          <w:szCs w:val="24"/>
        </w:rPr>
        <w:t xml:space="preserve"> raporti i hetimit nga aplikanti. </w:t>
      </w:r>
      <w:proofErr w:type="gramStart"/>
      <w:r w:rsidRPr="0046598A">
        <w:rPr>
          <w:rFonts w:ascii="Times New Roman" w:hAnsi="Times New Roman" w:cs="Times New Roman"/>
          <w:sz w:val="24"/>
          <w:szCs w:val="24"/>
        </w:rPr>
        <w:t>Njoftimet bëhen vetëm në adresat që aplikantët dhe/ose pronarët e markave apo aplikimeve të mëparshme ose përfaqësuesit e tyre kanë në territorin e Republikës së Shqipërisë.</w:t>
      </w:r>
      <w:proofErr w:type="gramEnd"/>
      <w:r w:rsidRPr="0046598A">
        <w:rPr>
          <w:rFonts w:ascii="Times New Roman" w:hAnsi="Times New Roman" w:cs="Times New Roman"/>
          <w:sz w:val="24"/>
          <w:szCs w:val="24"/>
        </w:rPr>
        <w:t xml:space="preserve">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24</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Regjistrimi i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Kur aplikimi për markë i plotëson kushtet e përcaktuara në ligj dhe në këtë rregullore dhe nuk është depozituar kërkesë për kundërshtim brenda periudhës së përcaktuar në nenin 152 të ligjit, ose kur është hequr dorë nga kundërshtimi apo kur kundërshtimi është refuzuar dhe vendimi i refuzimit ka marrë formë të prerë, zyra njofton aplikantin për depozitimin e pagesës për regjistrimin e markës brenda një muaji nga data e marrjes së njoftimit.</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Me marrjen e pagesës së regjistrimit, zyra regjistron markën në regjistrin e markave dhe publikon regjistrimin.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Nëse aplikanti nuk paguan tarifën për regjistrimin e markës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të përcaktuar, zyra e refuzon regjistrimin e markës dhe ia njofton vendimin aplikantit.</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Vendimi për refuzimin e markës për mospagim në kohë të tarifës së regjistrimit mund të ankimohet në Dhomën për Shfuqizim/Zhvlerësim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1 muaji nga data e marrjes së vendimit të refuzimit.</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 5. Pas kryerjes në afat të pagesës së tarifës së regjistrimit, zyra lëshon certifikatën e regjistrimit në formatin e përcaktuar për këtë qëllim. </w:t>
      </w:r>
      <w:proofErr w:type="gramStart"/>
      <w:r w:rsidRPr="0046598A">
        <w:rPr>
          <w:rFonts w:ascii="Times New Roman" w:hAnsi="Times New Roman" w:cs="Times New Roman"/>
          <w:sz w:val="24"/>
          <w:szCs w:val="24"/>
        </w:rPr>
        <w:t>Me kërkesë të aplikantit, certifikata e regjistrimit mund të lëshohet edhe në mënyrë elektronike kundrejt një pagese të reduktuar për regjistrimin e markës.</w:t>
      </w:r>
      <w:proofErr w:type="gramEnd"/>
      <w:r w:rsidRPr="0046598A">
        <w:rPr>
          <w:rFonts w:ascii="Times New Roman" w:hAnsi="Times New Roman" w:cs="Times New Roman"/>
          <w:sz w:val="24"/>
          <w:szCs w:val="24"/>
        </w:rPr>
        <w:t xml:space="preserve">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KREU IV</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REGJISTRI, PUBLIKIMI DHE CERTIFIKATA E NJË MARKE</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25</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Përmbajtja e regjistrit të markave</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Regjistri i markave përmban të dhënat e mëposhtme: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Numrin e aplikimit dhe të regjistrimit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Datën e depozitimit të aplikimit;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Të dhënat në lidhje me aplikantin dhe pronarin e markës, siç janë paraqitur në aplikim;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Të dhënat në lidhje me përfaqësuesin e autorizuar, nëse është caktuar një i tillë;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1.5 Listën e mallrave dhe/ose të shërbimeve;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1.6 Të dhënat në lidhje me prioritetin (data dhe numri i aplikimit të mëparshëm, si dhe shtetin ku është depozituar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aplikim ose datën e prioritetit nga ekspozita/panairi, sipas rastit);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1.7 Përfaqësimin (pamjen) e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1.8 Elementet në pamjen e markës, që përjashtohen nga mbrojtja;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1.9 Llojin e markës (markë fjalë, markë figurë, markë e pozicionit, markë me elemente përsëritëse, markë formë, markë ngjyrë ose lloj tjetër marke);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1.10 Ngjyrën ose kombinimin e ngjyrave që kërkohen të mbrohen dhe emrat e ngjyrës ose ngjyrave të pretenduara si dalluese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1.11 Kategorinë e markës (individuale, kolektive, certifikuese);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1.12 Konvertimin e shkronjave dhe/ose të numrave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1.13 Përshkrimin e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1.14 Përkthimin e markës në gjuhën shqipe;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1.15 Klasifikimin e elementeve të markës figurë në përputhje me klasifikimin e Vjenës;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1.16 Rregullat e përdorimit sipas një kontrate të depozituar për përdorimin e markës kolektive ose certifikuese, nëse marka e regjistruar është e tillë.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1.17 Datën e publikimit të aplikimit në buletinin zyrtar;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1.18 Të dhënat në lidhje me statusin e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1.19 Datën e regjistrimit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1.20 Datën e mbarimit të mbrojtjes së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1.21 Datën e publikimit të regjistrimit të markës në buletinin zyrtar;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1.22 Të dhënat në lidhje me ndryshimet / korrigjimet e aplikimit ose të regjistrimit, sipas nenit 37 të kësaj rregulloreje;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1.23 Datën dhe numrin e regjistrimit ndërkombëtar, nëse kjo markë ka një regjistrim ndërkombëtar; 1.24 Të dhënat në lidhje me ripërtëritjen e regjistrimit të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1.25 Të dhënat në lidhje me ndarjen e një aplikimi;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1.26 Të dhënat në lidhje me ndryshimet në markë, si: transferimi, licencimi, pengu, veprime përmbarimore, ndryshime në emër dhe adresë të aplikantit, të pronarit të markës ose të përfaqësuesit të autorizuar, kufizimet e listës së mallrave ose të shërbimeve, ndryshimet në kontratat e përdorimit të markave kolektive dhe tregues të tjerë thelbësorë në lidhje me statusin ligjor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1.27 Të dhënat në lidhje me kundërshtimin e depozituar;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1.28 Të dhënat në lidhje me kërkesën për shfuqizimin e një marke;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1.29 Të dhënat në lidhje me kërkesën për deklarimin si të pavlefshme të një marke;</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1.30 Të dhënat në lidhje me dorëheqjen nga marka;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1.31 Të dhënat në lidhje me ndërprerjen e efekteve të markës, si dhe shkaqet përkatëse;</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1.32 Të dhënat në lidhje me ankimin e vendimit të zyrës, si: ankuesi, numri dhe data e vendimit të ankuar të zyrës, data e paraqitjes së ankimit, përfaqësuesi i autorizuar, nëse është caktuar një i tillë, data dhe lloji i vendimit të lëshuar në lidhje me ankimin, kur depozitohet një kërkesë për ankim.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Përmbledhja zyrtare e të dhënave në lidhje me regjistrimin ndërkombëtar të markave administrohet nga Byroja Ndërkombëtare e OBPIsë. </w:t>
      </w:r>
      <w:proofErr w:type="gramStart"/>
      <w:r w:rsidRPr="0046598A">
        <w:rPr>
          <w:rFonts w:ascii="Times New Roman" w:hAnsi="Times New Roman" w:cs="Times New Roman"/>
          <w:sz w:val="24"/>
          <w:szCs w:val="24"/>
        </w:rPr>
        <w:t>Me kërkesë të çdo personi të interesuar dhe pas pagesës së tarifës përkatëse, zyra lëshon ekstrakte nga përmbledhjet e të dhënave në lidhje me regjistrimet ndërkombëtare të markave që janë në dispozicion të zyrës.</w:t>
      </w:r>
      <w:proofErr w:type="gramEnd"/>
      <w:r w:rsidRPr="0046598A">
        <w:rPr>
          <w:rFonts w:ascii="Times New Roman" w:hAnsi="Times New Roman" w:cs="Times New Roman"/>
          <w:sz w:val="24"/>
          <w:szCs w:val="24"/>
        </w:rPr>
        <w:t xml:space="preserve">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lastRenderedPageBreak/>
        <w:t>Neni 26</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Të dhënat që publikohen në buletinin zyrtar për një markë të aplikuar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Zyra publikon në buletinin zyrtar të dhënat e mëposhtme për një aplikim për markë: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Numrin e aplikimit;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Datën e depozitimit të aplikimit;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Emrin dhe adresën e aplikantit;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Emrin dhe adresën e përfaqësuesit të autorizuar, nëse aplikanti ka caktuar një të tillë;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1.5 Listën e mallrave dhe/ose të shërbimeve;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1.6 Të dhënat për prioritetin (datën e ekspozimit të mallrave dhe/ose të shërbimeve në ekspozitë ose në panair, llojin e ekspozitës ose të panairit, vendin e organizimit ose datën e depozitimit dhe numrin i aplikimit të mëparshëm dhe vendin e depozitimit);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1.7 Përfaqësimin (pamjen) e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1.8 Elementet në pamjen e markës që përjashtohen nga mbrojtja;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1.9 Emrat e ngjyrave që pretendohen kur marka kërkohet të regjistrohet ose të mbrohet në një ngjyrë ose kombinim ngjyrash. Ngjyra ose kombinimi i ngjyrave që kërkohet të mbrohet dhe emrat e ngjyrës ose ngjyrave të pretenduara si dalluese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1.10 Një tregues që përcakton llojin e markës që kërkohet të regjistrohet: markë fjalë, markë figurë, markë e pozicionit, markë me elemente përsëritëse, markë formë, markë ngjyrë ose një lloj tjetër marke;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1.11 Një tregues që përcakton kategorinë e markës që kërkohet të regjistrohet: markë individuale, markë kolektive ose markë certifikuese.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Të dhënat e referuara në pikën 1 të këtij neni duhet të prezantohen nëpërmjet kodeve INID të vendosura nga OBPI-ja (standardet e OBPI-së, ST.60 dhe ST.3), duke identifikuar të dhënat bibliografike lidhur me markat.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 buletinin zyrtar publikohet si aplikimi për regjistrimin e një marke, ashtu dhe të dhënat korresponduese që referohen në pikën 1 të këtij neni. Në buletin publikohen gjithashtu edhe: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 Ndryshimet në lidhje me aplikimin, që regjistrohen në regjistër;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3.2 Ndryshimet e aplikimit, sipas nenit 37 të kësaj rregulloreje;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3.3 Ndarja e aplikimit fillestar.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 4. Në rastin kur një aplikim refuzohet, vendimi i refuzimit të aplikimit publikohet vetëm pasi të marrë formë të prerë.</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5. Kur publikimi i një aplikimi përmban një gabim të bërë nga zyra ose nga aplikanti, zyra e korrigjon gabimin me iniciativën e vet ose me kërkesë të aplikantit dhe e publikon korrigjimin nëse aplikimi është publikuar më parë.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27</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Të dhënat që publikohen në buletinin zyrtar për një markë të regjistruar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Të dhënat që publikohen në buletinin zyrtar për një markë të regjistruar janë: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1.1 Numri i aplikimit dhe i regjistrimit të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 Data e depozitimit të aplikimit;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Të dhëna në lidhje me aplikantin dhe pronarin e markës, siç janë paraqitur në regjistër;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1.4 Të dhëna në lidhje me përfaqësuesin e autorizuar, nëse është caktuar një i tillë;</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1.5 Lista e mallrave dhe/ose shërbimeve;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1.6 Të dhëna për prioritetin (data e prioritetit nga ekspozita/panairi ose data dhe numri i aplikimit të mëparshëm, si dhe shteti ku është depozituar);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1.7 Përfaqësimi (pamja) i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1.8 Elemente të pamjes së markës që përjashtohen nga mbrojtja;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1.9 Lloji i markës (markë fjalë, markë figurë, markë e pozicionit; markë me elemente përsëritëse, markë formë, markë ngjyrë ose një lloj marke tjetër);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1.10 Ngjyra ose kombinimi i ngjyrave për një markë, që tregon se marka kërkohet të mbrohet në një ngjyrë ose kombinim ngjyrash;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1.11 Një tregues që përcakton kategorinë e markës që kërkohet të regjistrohet: markë individuale, markë kolektive ose markë certifikuese;</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1.12 Data e mbarimit të mbrojtjes së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Të dhënat e referuara në pikën 1 të këtij neni duhet të paraqiten nëpërmjet kodeve INID.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 Të dhënat e referuara në pikën 1 të këtij neni duhet të publikohen në buletinin zyrtar, ku publikohet gjithashtu çdo ndryshim që ka të bëjë me regjistrimin në regjistër të ndryshimeve në lidhje me një markë të regjistruar.</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lastRenderedPageBreak/>
        <w:t>Neni 28</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Të dhënat që përmban certifikata e regjistrimit të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Certifikata e regjistrimit të markës përmban të dhënat e mëposhtme: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 Numrin e aplikimit dhe të regjistrimit të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Datën e aplikimit dhe të regjistrimit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Emrin dhe adresën e pronarit të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Emrin dhe adresën e përfaqësuesit të autorizuar nëse është caktuar një i tillë;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Listën e mallrave dhe/ose shërbimeve;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6. Të dhënat në lidhje me prioritetin;</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7. Përfaqësimin (pamjen) e markës;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Elementet në pamjen e markës që përjashtohen nga mbrojtja;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9. Të dhënat në lidhje me llojin e markës (markë fjalë, markë figurë, markë e pozicionit; markë me elemente përsëritëse, markë formë, markë ngjyrë ose një lloj marke tjetër);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10. Emrin/emrat e ngjyrës ose kombinimit të ngjyrave të një marke të regjistruar;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Një tregues që përcakton kategorinë e markës që kërkohet të regjistrohet: markë individuale, markë kolektive ose markë certifikuese;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12. Datën e publikimit të regjistrimit në buletinin zyrtar;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13. Datën e mbarimit të mbrojtjes.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KREU V</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KUNDËRSHTIMI PËR REGJISTRIMIN E MARKËS</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29</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Paraqitja e kundërshtimit ndaj regjistrimit të një marke</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Kërkesa për kundërshtimin e regjistrimit të markës së publikuar në Dhomën për Shqyrtimin e Kundërshtimeve depozitohet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tre muajve nga data e publikimit të aplikimit në buletinin zyrtar. </w:t>
      </w:r>
      <w:proofErr w:type="gramStart"/>
      <w:r w:rsidRPr="0046598A">
        <w:rPr>
          <w:rFonts w:ascii="Times New Roman" w:hAnsi="Times New Roman" w:cs="Times New Roman"/>
          <w:sz w:val="24"/>
          <w:szCs w:val="24"/>
        </w:rPr>
        <w:t>Kërkesa mund të paraqitet nga personat e parashikuar në pikën 1 të nenit 152 të ligjit.</w:t>
      </w:r>
      <w:proofErr w:type="gramEnd"/>
      <w:r w:rsidRPr="0046598A">
        <w:rPr>
          <w:rFonts w:ascii="Times New Roman" w:hAnsi="Times New Roman" w:cs="Times New Roman"/>
          <w:sz w:val="24"/>
          <w:szCs w:val="24"/>
        </w:rPr>
        <w:t xml:space="preserv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Për kundërshtimin e regjistrimit të një marke të publikuar depozitohet në zyrë një kërkesë e veçantë, e cila paraqitet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kopje të njëjta.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Kërkesa për kundërshtimin e regjistrimit të markës së publikuar në Dhomën për Shqyrtimin e Kundërshtimeve përmban: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 Formularin për kundërshtimin e regjistrimit të markës së publikuar në Dhomën për Shqyrtimin e Kundërshtimeve, që i bashkëngjitet kësaj rregulloreje, me të dhënat e mëposhtme: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3.1.1 Numrin e aplikimit për regjistrimin e markës për të cilën është depozituar kërkesa për kundërshtim;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3.1.2 Emrin dhe adresën e aplikantit ndaj aplikimit të të cilit është depozituar kërkesa për kundërshtim;</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3.1.3 Emrin dhe adresën e kundërshtuesit, në përputhje me nenin 62 të kësaj rregulloreje;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3.1.4 Emrin dhe adresën e përfaqësuesit të autorizuar, nëse kundërshtuesi ka caktuar një të tillë, në përputhje me nenin 62 të kësaj rregulloreje;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3.1.5 Listën e mallrave dhe/ose shërbimeve për të cilat është depozituar kërkesa për kundërshtim;</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3.1.6 Nënshkrimin e kundërshtuesit ose të përfaqësuesit të tij;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3.2 Bazën ligjore të kundërshtimit, sipas nenit 143 të ligjit;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3.3 Provat në lidhje me bazën ligjore të kërkesës për kundërshtim;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3.4 Argumentet e kërkesës për kundërshtim;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3.5 Pagesën e tarifës përkatëse.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3.6 Autorizimin e përfaqësimit, nëse kërkesa depozitohet nga përfaqësuesi i kundërshtuesit.</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30</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Shqyrtimi i kundërshtimit</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Dhoma e Kundërshtimeve e shqyrton një kundërshtim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paraqitjes së kërkesës për kundërshtim.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Nëse kërkesa për kundërshtim nuk paraqitet brenda afatit të parashikuar në pikën 1 të nenit 152 të ligjit, Dhoma e Kundërshtimeve e refuzon kërkesën për kundërshtim dhe njofton kundërshtuesin për vendimin e refuzimit.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 rast se kundërshtimi nuk i plotëson kushtet e nenit 29 të kësaj rregulloreje, Dhoma e Kundërshtimeve i kërkon kundërshtuesit, nëpërmjet një njoftimi me shkrim, të plotësojë të metat e konstatuara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marrjes së njoftimit. Në rast se të metat nuk plotësohen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kundërshtimi do të konsiderohet sikur të mos jetë paraqitur.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4. Kur kundërshtuesi i plotëson të metat, Dhoma e Kundërshtimeve i dërgon një kopje të kundërshtimit aplikantit të markës së kundërshtuar, si dhe e njofton atë me shkrim të paraqesë argumentet, si dhe çdo dokument tjetër në mbështetje të argumenteve të tij,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marrjes së njoftimit.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Gjatë shqyrtimit, Dhoma e Kundërshtimeve ka të drejtë t’u kërkojë palëve, nëpërmjet njoftimit me shkrim, të paraqesin materiale dhe dokumente të tjera shtesë,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periudhe dymujore nga data e marrjes së njoftimit.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Dhoma e Kundërshtimeve merr vendim lidhur me kundërshtimin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plotësimit të dosjes, sipas pikave 4 e 5 të këtij neni dhe njofton me shkrim palët mbi vendimin e marrë.</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7. Vendimi i Dhomës për Shqyrtimin e Kundërshtimeve mund të ankimohet në bordin e apelit kundrejt pagesës së tarifës përkatëse,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marrjes së vendimit.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Kur Dhoma e Kundërshtimeve vendos se marka nuk mund të regjistrohet për një ose disa mallra dhe/ose shërbime për të cilat është bërë aplikimi për markë, aplikimi do të refuzohet në lidhje me ato mallra dhe/ose shërbime.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9. Kur Dhoma e Kundërshtimeve vendos për rrëzimin e kundërshtimit dhe vendimi i refuzimit nuk ankimohet në bordin e apelit,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vendim merr formë të prerë dhe një kopje e tij depozitohet në dosjen e aplikimit për regjistrimin e markës dhe ekzaminuesi vazhdon procedurën për regjistrimin e saj.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10. Kur Dhoma e Kundërshtimeve vendos për pranimin e kundërshtimit dhe vendimi i pranimit nuk apelohet në bordin e apelit,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vendim merr formë të prerë e një kopje e tij depozitohet në dosjen e aplikimit për regjistrimin e markës dhe ekzaminuesi refuzon regjistrimin e markës e njofton aplikantin e aplikimit për vendimin e refuzimit të regjistrimit.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vendim publikohet në buletinin zyrtar.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11. Kur vendimi i Dhomës së Kundërshtimeve, lidhur me kundërshtimin për regjistrimin e një marke, apelohet në bordin e apelit, vendimi i këtij të fundit depozitohet në dosjen e aplikimit për regjistrimin e markës, si dhe publikohet në buletinin zyrtar.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 Kur vendimi i bordit të apelit apelohet në gjykatë, vendimi i kësaj të fundit depozitohet në dosjen e aplikimit për regjistrimin e markës, si dhe publikohet në buletinin zyrtar.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KREU VI</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RIVENDOSJA NË AFAT E SË DREJTËS</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31</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Paraqitja e kërkesës për rivendosjen në afat të së drejtës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Në përputhje me parashikimin e nenit 151/c të ligjit, aplikanti i një aplikimi për markë ose përfaqësuesi i tij mund të kërkojë rivendosjen në afat të së drejtës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mënjanimi i shkakut të mosrespektimit të afatit, por jo më vonë se 1 (një) vit nga mbarimi i afatit të humbur. Kërkesa për rivendosje në afat të së drejtës përmban:</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Formularin e aplikimit për rivendosje në afat të së drejtës, që i bashkëlidhet kësaj rregulloreje me të dhënat e mëposhtme: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1.1 Numrin e aplikimit të markës për të cilën është depozituar kërkesa për rivendosje në afat;</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 Emrin dhe adresën e aplikantit të aplikimit për markë për të cilën është depozituar kërkesa për rivendosje në afat;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Emrin dhe adresën e përfaqësuesit të autorizuar, nëse aplikanti ka caktuar një të tillë, në përputhje me nenin 62 të kësaj rregulloreje;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Shkaqet/arsyet e mosrespektimit të afatit;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1.5 Nënshkrimin e aplikantit ose të përfaqësuesit të tij.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Pagesën e tarifës përkatëse;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Autorizimin e përfaqësimit, nëse kërkesa paraqitet nga përfaqësuesi i aplikantit. </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32</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Shqyrtimi i kërkesës për rivendosje në afat të së drejtës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Zyra shqyrton kërkesën për rivendosje në afat të së drejtës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afati njëmujor nga data e marrjes së saj, nëse është në përputhje me parashikimet e nenit 151/c të ligjit dhe nenit 31 të kësaj rregulloreje. Në rast se zyra e pranon kërkesën për rivendosjen e së drejtës, njofton me shkrim aplikantin e markës për rivendosjen e së drejtës dhe afatin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të cilit ai duhet të plotësojë të metat dhe e publikon atë në buletinin zyrtar. </w:t>
      </w:r>
      <w:proofErr w:type="gramStart"/>
      <w:r w:rsidRPr="0046598A">
        <w:rPr>
          <w:rFonts w:ascii="Times New Roman" w:hAnsi="Times New Roman" w:cs="Times New Roman"/>
          <w:sz w:val="24"/>
          <w:szCs w:val="24"/>
        </w:rPr>
        <w:t>Refuzimi i bërë nga zyra shfuqizohet dhe ekzaminuesi vazhdon procedurën në përputhje me ligjin.</w:t>
      </w:r>
      <w:proofErr w:type="gramEnd"/>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Kur një aplikanti i janë rivendosur të drejtat në lidhje me aplikimin për markë, ai nuk mund të përdorë të drejtat e tij kundrejt një pale të tretë, e cila, në mirëbesim, ka hedhur mallra dhe/ose shërbime në treg nën një shenjë identike ose të ngjashme me aplikimin për markë gjatë periudhës midis humbjes të të drejtave të aplikimit dhe publikimit të vendimit të zyrës për rivendosjen në afat të këtyre të drejtave.</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 Në rast se kërkesa për rivendosjen në afat të së drejtës nuk është në përputhje me parashikimet e nenit 151/c të ligjit dhe të nenit 31 të kësaj rregulloreje, zyra e refuzon kërkesën për rivendosjen në afat dhe njofton me shkrim aplikantin.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4. Vendimi i zyrës për refuzimin e rivendosjes në afat mund të apelohet në bordin e apelit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1 muaji nga data e marrjes së vendimit të refuzimit.</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KREU VII</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NDRYSHIME NË REGJISTRIN E MARKAVE</w:t>
      </w:r>
    </w:p>
    <w:p w:rsidR="00220063" w:rsidRPr="0046598A" w:rsidRDefault="009A47D1" w:rsidP="00220063">
      <w:pPr>
        <w:jc w:val="center"/>
        <w:rPr>
          <w:rFonts w:ascii="Times New Roman" w:hAnsi="Times New Roman" w:cs="Times New Roman"/>
          <w:sz w:val="24"/>
          <w:szCs w:val="24"/>
        </w:rPr>
      </w:pPr>
      <w:r w:rsidRPr="0046598A">
        <w:rPr>
          <w:rFonts w:ascii="Times New Roman" w:hAnsi="Times New Roman" w:cs="Times New Roman"/>
          <w:sz w:val="24"/>
          <w:szCs w:val="24"/>
        </w:rPr>
        <w:t>Neni 33</w:t>
      </w:r>
    </w:p>
    <w:p w:rsidR="00220063" w:rsidRPr="0046598A" w:rsidRDefault="009A47D1" w:rsidP="00220063">
      <w:pPr>
        <w:jc w:val="center"/>
        <w:rPr>
          <w:rFonts w:ascii="Times New Roman" w:hAnsi="Times New Roman" w:cs="Times New Roman"/>
          <w:b/>
          <w:sz w:val="24"/>
          <w:szCs w:val="24"/>
        </w:rPr>
      </w:pPr>
      <w:r w:rsidRPr="0046598A">
        <w:rPr>
          <w:rFonts w:ascii="Times New Roman" w:hAnsi="Times New Roman" w:cs="Times New Roman"/>
          <w:b/>
          <w:sz w:val="24"/>
          <w:szCs w:val="24"/>
        </w:rPr>
        <w:t>Përmbajtja e kërkesës për ndryshime në regjistër</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Kërkesa për regjistrimin e një ndryshimi në regjistër përmban: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Formularin e kërkesës për regjistrimin e një ndryshimi në regjistrin që i bashkëlidhet kësaj rregulloreje, në të cilin do të jenë të specifikuara të dhënat e mëposhtme: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1.1.1 Numrin e aplikimit ose numrin e regjistrimit të markës;</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1.1.2 Emrin dhe adresën e aplikantit ose të pronarit të markës, ashtu siç është shënuar në regjistër; </w:t>
      </w:r>
    </w:p>
    <w:p w:rsidR="00220063"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1.1.3 Emrin dhe adresën e personit që depoziton kërkesën, në përputhje me nenin 62 të kësaj rregulloreje;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1.1.4 Emrin dhe adresën e përfaqësuesit të autorizuar, nëse është caktuar një i tillë;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1.1.5 Llojin e ndryshimit të kërkuar;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1.1.6 Ndryshimin e kërkuar nga aplikanti ose pronari i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1.1.7 Listën e mallrave apo/dhe të shërbimeve për të cilat është kërkuar ndryshimi në regjistër;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1.1.8 Nënshkrimin e personit që depoziton kërkesën ose të përfaqësuesit të tij;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Dokumentin ligjor ku bazohet ndryshimi, përveç rasteve për ndryshim të adresës së aplikantit, ndryshim të adresës së pronarit të markës apo ndryshim të adresës së përfaqësuesit të autorizuar;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Pagesën e tarifës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Autorizimin e përfaqësimit, nëse aplikanti/ pronari i markës ka caktuar një përfaqësues.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Parashikimet e këtij neni, si dhe të neneve 34 e 35 të kësaj rregulloreje, aplikohen gjithashtu për pasqyrimin në regjistër të transferimit të pronësisë, ndryshimit të emrit, adresës së pronarit apo aplikantit të një marke, kontratave të licencimit, pengut, veprimeve përmbarimore, si dhe të çdo ndryshimi tjetër, i cili duhet ose kërkohet të pasqyrohet në regjistër.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Nëse elementi fjalë i markës tregtare të aplikuar ose të regjistruar më parë përkon me TGJM-në ose EOM-në, marka tregtare në fjalë nuk mund të transferohet, të licencohet ose të lihet peng me një marrëveshje.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34</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Dokumente të tjera në lidhje me kërkesën për regjistrimin e ndryshimeve në regjistër</w:t>
      </w:r>
    </w:p>
    <w:p w:rsidR="007F775E"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1.Kur</w:t>
      </w:r>
      <w:proofErr w:type="gramEnd"/>
      <w:r w:rsidRPr="0046598A">
        <w:rPr>
          <w:rFonts w:ascii="Times New Roman" w:hAnsi="Times New Roman" w:cs="Times New Roman"/>
          <w:sz w:val="24"/>
          <w:szCs w:val="24"/>
        </w:rPr>
        <w:t xml:space="preserve"> kërkesa për regjistrimin e një ndryshimi në regjistër lidhet me disa aplikime/regjistrime, të cilat kanë aplikantë ose pronarë të njëjtë, mund të depozitohet një kërkesë e vetme, me kusht që:</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 Numrat e aplikimit ose të regjistrimit të të gjitha aplikimeve ose të regjistrimeve të jenë treguar në kërkesë;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Në rastin e transferimit të pronësisë së markës, transferimi duhet të jetë i plotë për të gjitha mallrat apo shërbimet;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Pagesa të jetë kryer për të gjitha ndryshimet e kërkuara.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Nëse është kërkuar një transferim i pjesshëm i pronësisë, zyra krijon një aplikim dhe/ose regjistrim të </w:t>
      </w:r>
      <w:proofErr w:type="gramStart"/>
      <w:r w:rsidRPr="0046598A">
        <w:rPr>
          <w:rFonts w:ascii="Times New Roman" w:hAnsi="Times New Roman" w:cs="Times New Roman"/>
          <w:sz w:val="24"/>
          <w:szCs w:val="24"/>
        </w:rPr>
        <w:t>ri</w:t>
      </w:r>
      <w:proofErr w:type="gramEnd"/>
      <w:r w:rsidRPr="0046598A">
        <w:rPr>
          <w:rFonts w:ascii="Times New Roman" w:hAnsi="Times New Roman" w:cs="Times New Roman"/>
          <w:sz w:val="24"/>
          <w:szCs w:val="24"/>
        </w:rPr>
        <w:t xml:space="preserve"> të markës, i cili përmban mallrat apo shërbimet për të cilat është kryer transferimi. Kur transferimi përmban mallra ose shërbime që i referohen një termi të përgjithshëm,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term duhet të përdoret në të gjitha listat e mallrave dhe/ose të shërbimeve te të cilat është transferuar ky term, duke e kufizuar me shtesa të përshtatshme për të shmangur mbivendosjen e listës së mallrave dhe/ose të shërbimeve.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Një kopje e plotë e dokumenteve të aplikimit apo të regjistrimit fillestar të markës bëhet pjesë e dokumenteve të aplikimit ose të regjistrimit të referuar në pikën 2 të këtij neni. </w:t>
      </w:r>
      <w:proofErr w:type="gramStart"/>
      <w:r w:rsidRPr="0046598A">
        <w:rPr>
          <w:rFonts w:ascii="Times New Roman" w:hAnsi="Times New Roman" w:cs="Times New Roman"/>
          <w:sz w:val="24"/>
          <w:szCs w:val="24"/>
        </w:rPr>
        <w:t>Një kopje e kërkesës për regjistrimin e transferimit bëhet pjesë e dokumenteve të aplikimit ose të regjistrimit fillestar.</w:t>
      </w:r>
      <w:proofErr w:type="gramEnd"/>
      <w:r w:rsidRPr="0046598A">
        <w:rPr>
          <w:rFonts w:ascii="Times New Roman" w:hAnsi="Times New Roman" w:cs="Times New Roman"/>
          <w:sz w:val="24"/>
          <w:szCs w:val="24"/>
        </w:rPr>
        <w:t xml:space="preser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Aplikimit ose regjistrimit të një marke, sipas pikës 2 të këtij neni, i jepet një numër i </w:t>
      </w:r>
      <w:proofErr w:type="gramStart"/>
      <w:r w:rsidRPr="0046598A">
        <w:rPr>
          <w:rFonts w:ascii="Times New Roman" w:hAnsi="Times New Roman" w:cs="Times New Roman"/>
          <w:sz w:val="24"/>
          <w:szCs w:val="24"/>
        </w:rPr>
        <w:t>ri</w:t>
      </w:r>
      <w:proofErr w:type="gramEnd"/>
      <w:r w:rsidRPr="0046598A">
        <w:rPr>
          <w:rFonts w:ascii="Times New Roman" w:hAnsi="Times New Roman" w:cs="Times New Roman"/>
          <w:sz w:val="24"/>
          <w:szCs w:val="24"/>
        </w:rPr>
        <w:t xml:space="preserve"> aplikimi dhe/ose regjistrimi.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Të gjitha kërkesat e paraqitura dhe tarifat e paguara në lidhje me aplikimin ose regjistrimin fillestar të një marke do të konsiderohen se janë paraqitur dhe paguar edhe për aplikimet ose regjistrimet e referuara në pikën 2 të këtij neni, nëse ato mbulojnë të njëjtat mallra dhe/ose shërbime për të cilat kanë nisur procedurat.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6. Dokumenti ligjor ku bazohet ndryshimi, sipas pikës 1.2, të nenit 33, të kësaj rregulloreje, duhet të jetë, si më poshtë vijon</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6.1 Për transferimin e pronësisë, sipas rastit: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6.1.1 Dokumenti që vërteton transferimin e pronësisë në formën e një marrëveshjeje të nënshkruar nga të dyja palët dhe e vërtetuar nga noteri.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6.1.2 Ekstrakti tregtar i lëshuar nga autoriteti kompetent për shoqëritë tregtare ku të evidentohet pronari i </w:t>
      </w:r>
      <w:proofErr w:type="gramStart"/>
      <w:r w:rsidRPr="0046598A">
        <w:rPr>
          <w:rFonts w:ascii="Times New Roman" w:hAnsi="Times New Roman" w:cs="Times New Roman"/>
          <w:sz w:val="24"/>
          <w:szCs w:val="24"/>
        </w:rPr>
        <w:t>ri</w:t>
      </w:r>
      <w:proofErr w:type="gramEnd"/>
      <w:r w:rsidRPr="0046598A">
        <w:rPr>
          <w:rFonts w:ascii="Times New Roman" w:hAnsi="Times New Roman" w:cs="Times New Roman"/>
          <w:sz w:val="24"/>
          <w:szCs w:val="24"/>
        </w:rPr>
        <w:t xml:space="preserve"> i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6.1.3 Në rastet kur transferimi i pronësisë ka të bëjë me ndryshimin e formës ligjore të shoqërisë, do të depozitohet ekstrakti tregtar i lëshuar nga autoriteti kompetent për shoqëritë tregtare ku të evidentohet ndryshimi përkatës.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6.2 Për ndryshimin e emrit, sipas rastit: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6.2.1 Dokumenti që vërteton ndryshimin e emrit;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6.2.2 Ekstrakti tregtar i lëshuar nga autoriteti kompetent për shoqëritë tregtare ku të evidentohet ndryshimi përkatës.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6.3 Për regjistrimin e kontratës së licencës:</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6.3.1 Marrëveshja/kontrata e licencës, e cila nënshkruhet nga të dyja palët dhe e vërtetuar nga noteri;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6.3.2 Kohëzgjatja e licencës;</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6.3.3 Mënyra e përdorimit të markës nga i licencuari;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6.3.4 Mallrat dhe/ose shërbimet për të cilat është dhënë licenca;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6.3.5 Territori ku do të përdoret marka për të cilën është dhënë licenca;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6.3.6 Cilësia e mallrave të prodhuara apo shërbimeve të ofruara;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6.3.7 Detyrimet që licencuesi i vendos të licencuarit për zbatimin e kushteve të përcaktuara në kontratë;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6.3.8 Lloji i licencës: licencë ekskluzive ose joekskluzive.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Një kontratë licence e regjistruar mund të ndryshohet ose të anulohet me kërkesë të njërës prej palëve dhe çdo ndryshim i saj duhet të regjistrohet në regjistër. </w:t>
      </w:r>
      <w:proofErr w:type="gramStart"/>
      <w:r w:rsidRPr="0046598A">
        <w:rPr>
          <w:rFonts w:ascii="Times New Roman" w:hAnsi="Times New Roman" w:cs="Times New Roman"/>
          <w:sz w:val="24"/>
          <w:szCs w:val="24"/>
        </w:rPr>
        <w:t>Çdo ndryshim duhet të shoqërohet me dokumentet provuese përkatëse.</w:t>
      </w:r>
      <w:proofErr w:type="gramEnd"/>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35</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Procedura në lidhje me shqyrtimin e kërkesave për regjistrimin e ndryshimeve në regjistër</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 Nëse kërkesa për regjistrimin e një ndryshimi në regjistër nuk është depozituar në përputhje me ligjin dhe këtë rregullore, zyra njofton me shkrim personin për plotësimin e të metave ose për depozitimin e dokumenteve shtesë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2 muajve nga data e marrjes së njoftimit.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Nëse aplikanti që ka depozituar kërkesën i plotëson të metat ose depoziton dokumentet shtesë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marrjes së njoftimit, zyra vendos në lidhje me kërkesën për regjistrimin e ndryshimit.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Me kërkesë të aplikantit, afati dymujor mund të zgjatet deri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muaj shtesë kundrejt pagesës së tarifës përkatëse për këtë qëllim.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Nëse aplikanti nuk plotëson të metat ose nuk depoziton dokumentet shtesë, sipas pikës 1 të këtij neni,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ose brenda afatit shtesë, kur kërkohet afat shtesë, zyra e refuzon kërkesën për regjistrimin e ndryshimit në regjistër.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36</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Ripërtëritja e regjistrimit të një marke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Regjistrimi i markës ripërtërihet me kërkesë, pasi të jetë bërë pagesa e tarifës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Zyra informon pronarin e markës dhe çdo përfaqësues të pronarit ose person tjetër që ka një të drejtë të regjistruar në lidhje me markën, për mbarimin e mbrojtjes të paktën 6 muaj para kësaj date. </w:t>
      </w:r>
      <w:proofErr w:type="gramStart"/>
      <w:r w:rsidRPr="0046598A">
        <w:rPr>
          <w:rFonts w:ascii="Times New Roman" w:hAnsi="Times New Roman" w:cs="Times New Roman"/>
          <w:sz w:val="24"/>
          <w:szCs w:val="24"/>
        </w:rPr>
        <w:t>Mospërmbushja e këtij detyrimi nuk sjell përgjegjësi për zyrën dhe as nuk ndikon në mbarimin e mbrojtjes së markës.</w:t>
      </w:r>
      <w:proofErr w:type="gramEnd"/>
      <w:r w:rsidRPr="0046598A">
        <w:rPr>
          <w:rFonts w:ascii="Times New Roman" w:hAnsi="Times New Roman" w:cs="Times New Roman"/>
          <w:sz w:val="24"/>
          <w:szCs w:val="24"/>
        </w:rPr>
        <w:t xml:space="preser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Kërkesa për ripërtëritjen e markës dhe tarifa bazë për ripërtëritje, duke përfshirë tarifat për klasat shtesë, duhet të paguhet e duhet të depozitohet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6 (gjashtë) muajve para datës së mbarimit të mbrojtjes.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Kërkesa për ripërtëritjen e markës dhe pagesat përkatëse mund të depozitohen dhe të paguhen edhe pasi afati i mbrojtjes të ketë mbaruar, por </w:t>
      </w:r>
      <w:proofErr w:type="gramStart"/>
      <w:r w:rsidRPr="0046598A">
        <w:rPr>
          <w:rFonts w:ascii="Times New Roman" w:hAnsi="Times New Roman" w:cs="Times New Roman"/>
          <w:sz w:val="24"/>
          <w:szCs w:val="24"/>
        </w:rPr>
        <w:t>jo</w:t>
      </w:r>
      <w:proofErr w:type="gramEnd"/>
      <w:r w:rsidRPr="0046598A">
        <w:rPr>
          <w:rFonts w:ascii="Times New Roman" w:hAnsi="Times New Roman" w:cs="Times New Roman"/>
          <w:sz w:val="24"/>
          <w:szCs w:val="24"/>
        </w:rPr>
        <w:t xml:space="preserve"> më vonë se gjashtë muaj nga data e mbarimit të mbrojtjes. </w:t>
      </w:r>
      <w:proofErr w:type="gramStart"/>
      <w:r w:rsidRPr="0046598A">
        <w:rPr>
          <w:rFonts w:ascii="Times New Roman" w:hAnsi="Times New Roman" w:cs="Times New Roman"/>
          <w:sz w:val="24"/>
          <w:szCs w:val="24"/>
        </w:rPr>
        <w:t>Në këtë rast, paguhet një tarifë shtesë.</w:t>
      </w:r>
      <w:proofErr w:type="gramEnd"/>
      <w:r w:rsidRPr="0046598A">
        <w:rPr>
          <w:rFonts w:ascii="Times New Roman" w:hAnsi="Times New Roman" w:cs="Times New Roman"/>
          <w:sz w:val="24"/>
          <w:szCs w:val="24"/>
        </w:rPr>
        <w:t xml:space="preser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Kërkesa për ripërtëritje e markës përmban: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5.1 Formularin e aplikimit për ripërtëritjen e markës, që i bashkëlidhet kësaj rregulloreje, me të dhënat e mëposhtme: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5.1.1 Numrin e aplikimit ose numrin e regjistrimit të markës që kërkohet të ripërtërihet;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5.1.2 Emrin dhe adresën e pronarit të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5.1.3 Emrin dhe adresën e përfaqësuesit të autorizuar, nëse është caktuar një i tillë;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5.1.4 Listën e mallrave dhe/ose të shërbimeve të grupuara sipas klasifikimit të Nicës vetëm nëse ripërtëritja kërkohet për një pjesë të listës së mallrave dhe/ose të shërbimeve;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5.1.5 Nënshkrimin e personit që depoziton kërkesën ose të përfaqësuesit të tij.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5.2 Pagesën e tarifës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5.3 Autorizimin e përfaqësimit, nëse ripërtëritja kërkohet për një pjesë të listës së mallrave dhe/ose shërbimeve dhe pronari ka caktuar një përfaqësues.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Kur kërkesa është paraqitur dhe pagesa është kryer vetëm për disa mallra dhe/ose shërbime për të cilat është regjistruar marka, regjistrimi do të ripërtërihet vetëm për ato mallra dhe/ose shërbime.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7. Kur pagesa e kryer nuk është e mjaftueshme për të mbuluar të gjitha klasat e mallrave dhe/ose shërbimeve për të cilat kërkohet ripërtëritja, regjistrimi do të ripërtërihet nëse është e qartë se cila ose cilat klasa duhet të mbulohen.</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8. Nëse nuk është e qartë se nga cilat klasa mbulohen mallrat dhe/ose shërbimet, zyra do të ripërtërijë markën sipas rendit të klasifikimit.</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9. Ripërtëritja i fillon efektet nga e nesërmja e datës kur mbaron afati i regjistrimit ekzistues.</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10. Ripërtëritja duhet të regjistrohet në regjistrin e markave.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Kur kërkesa për ripërtëritjen e markës është depozituar dhe pagesa e tarifës përkatëse është kryer brenda afateve të parashikuara në pikat 3 e 4 të këtij neni, por nuk janë plotësuar të gjitha kushtet për ripërtëritjen, zyra njofton me shkrim aplikantin për plotësimin e të metave brenda dy muajve nga data e marrjes së njoftimit.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afat mund të zgjatet me dy muaj shtesë kundrejt kërkesës dhe pagesës së tarifës për shtyrje afati.</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 Kur kërkesa për ripërtëritjen e markës nuk është depozituar ose është depozituar pas periudhës së përcaktuar në pikën 4 të këtij neni, ose kur nuk janë paguar tarifat përkatëse brenda afateve të përcaktuara më lart në këtë nen, zyra njofton pronarin e markës ose përfaqësuesin e tij se regjistrimit i ka mbaruar mbrojtja dhe se do të bëjë pasqyrimin e këtij fakti (vendimi) në regjistrin e markave.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Kur pronari ose përfaqësuesi i tij nuk kanë plotësuar të metat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ose ato nuk janë plotësuar si duhet brenda afatit, zyra njofton pronarin e markës ose përfaqësuesin e tij në lidhje me vendimin e marrë sipas këtij neni.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Zyra publikon çdo vendim për ripërtëritjen e një marke ose refuzimin e ripërtëritjes së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15. Kur pagesa është kryer, por kërkesa për ripërtëritje refuzohet nga zyra, kjo pagesë rimbursohet në masën 80% kundrejt një kërkese me shkrim të aplikantit ose përfaqësuesit të tij.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37</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Korrigjime në aplikimin ose regjistrimin e një marke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Me kërkesë të aplikantit, kundrejt pagesës së tarifës përkatëse, ose me iniciativë të zyrës, mund të bëhen korrigjime në aplikim ose regjistrim në lidhje me emrin, adresën e aplikantit ose listën e mallrave dhe/ose të shërbimeve, vetëm në rastet kur është e nevojshme për të korrigjuar gabime ortografike të dukshme.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Në rastin kur gabimi në aplikim ose regjistrim është shkaktuar nga zyra, aplikanti nuk ka detyrim të paguajë tarifën përkatëse, sipas pikës 1 të këtij neni.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Përfaqësimi (pamja) i një marke nuk mund të ndryshohet (korrigjohet), me përjashtim të rastit kur ai përmban emrin dhe adresën e aplikantit. </w:t>
      </w:r>
      <w:proofErr w:type="gramStart"/>
      <w:r w:rsidRPr="0046598A">
        <w:rPr>
          <w:rFonts w:ascii="Times New Roman" w:hAnsi="Times New Roman" w:cs="Times New Roman"/>
          <w:sz w:val="24"/>
          <w:szCs w:val="24"/>
        </w:rPr>
        <w:t>Në këtë rast, me kërkesë të aplikantit dhe kundrejt pagesës përkatëse, pamja mund të ndryshohet (korrigjohet), por pa prekur thelbin e pamjes së markës së aplikuar.</w:t>
      </w:r>
      <w:proofErr w:type="gramEnd"/>
      <w:r w:rsidRPr="0046598A">
        <w:rPr>
          <w:rFonts w:ascii="Times New Roman" w:hAnsi="Times New Roman" w:cs="Times New Roman"/>
          <w:sz w:val="24"/>
          <w:szCs w:val="24"/>
        </w:rPr>
        <w:t xml:space="preser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Zyra shqyrton kërkesën për korrigjim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paraqitjes së saj.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Çdo korrigjim i bërë në një aplikim për markë të publikuar ose markë të regjistruar publikohet në buletinin zyrtar të radhës.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KREU VIII</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PROCEDIMET PARA ZYRËS NË LIDHJE ME SHFUQIZIMIN DHE ME ZHVLERËSIMIN E MARKAVE</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38</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Përmbajtja e kërkesës për shfuqizimin e një marke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Kërkesa për shfuqizimin e një marke të regjistruar në dhomën për shfuqizim/zhvlerësim, bazuar në nenin 173 të ligjit, duhet të depozitohet si kërkesë më vete në dy kopje të njëjta.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Kërkesa për shfuqizimin e markës përmban: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 Formularin e aplikimit për shfuqizimin/ zhvlerësimin e një marke të regjistruar në Dhomën për Shfuqizim/Zhvlerësim, që i bashkëlidhet kësaj rregulloreje, ku do të jenë të specifikuara të dhënat, si më poshtë vijon: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2.1.1 Numri i regjistrimit të markës për të cilën është kërkuar shfuqizimi;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2.1.2 Emri dhe adresa e pronarit të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2.1.3 Emri dhe adresa e personit që depoziton kërkesën, sipas nenit 62 të kësaj rregulloreje;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2.1.4 Emri dhe adresa e përfaqësuesit të autorizuar, nëse është caktuar një i tillë në përputhje me nenin 62 të kësaj rregulloreje;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2.1.5 Lista e mallrave dhe/ose shërbimeve për të cilat kërkohet shfuqizimi;</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2.1.6 Nënshkrimi i personit që depoziton kërkesën ose i përfaqësuesit të autorizuar të tij.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2.2 Bazën ligjore ku mbështetet kërkesa për shfuqizimin e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2.3 Provat në lidhje me bazën ligjore ku mbështetet kërkesa për shfuqizimin e markës;</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2.4 Argumentet ku mbështetet kërkesa për shfuqizim;</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2.5 Pagesën e tarifës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2.6 Autorizimin e përfaqësimit, nëse aplikuesi ka caktuar një përfaqësues.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39</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Përmbajtja e kërkesës për zhvlerësimin e një marke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Kërkesa për zhvlerësimin e një marke të regjistruar, bazuar në nenin 174 të ligjit, duhet të depozitohet si kërkesë më vete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kopje të njëjta.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Kërkesa për zhvlerësimin e markës përmban: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 Formularin e aplikimit për shfuqizimin/ zhvlerësimin e një marke të regjistruar në Dhomën për Shfuqizim/Zhvlerësim, që i bashkëlidhet kësaj rregulloreje, ku do të jenë të specifikuara të dhënat, si më poshtë vijon: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2.1.1 Numri i regjistrimit të markës për të cilën është depozituar kërkesa;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2.1.2 Emri dhe adresa e pronarit të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2.1.3 Emri dhe adresa e personit që depoziton kërkesën, në përputhje me nenin 62 të kësaj rregulloreje;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2.1.4 Emri dhe adresa e përfaqësuesit të autorizuar, nëse është caktuar një i tillë në përputhje me nenin 62 të kësaj rregulloreje;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2.1.5 Lista e mallrave ose e shërbimeve për të cilat është kërkuar zhvlerësimi;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2.1.6 Nënshkrimi i personit që depoziton kërkesën ose e përfaqësuesit të autorizuar të tij.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2.2 Bazën ligjore ku mbështetet kërkesa për zhvlerësimin e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2.3 Argumentet ku mbështetet kërkesa për zhvlerësimin e markës;</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2.4 Pagesën e tarifës përkatëse;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2.5 Autorizimin e përfaqësimit, nëse aplikuesi ka caktuar një përfaqësues.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40</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Shqyrtimi i kërkesave për shfuqizimin e një marke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Dhoma për Shfuqizim/Zhvlerësim shqyrton kërkesën për shfuqizim të një marke të regjistruar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paraqitjes së saj. Gjatë shqyrtimit të kërkesës për shfuqizimin e një marke të regjistruar, Dhoma për Shfuqizim/Zhvlerësim fton palët, për aq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është e nevojshme, që të depozitojnë pretendimet e tyre brenda 2 muajve nga data e marrjes së njoftimit, në lidhje me komunikimet e paraqitura nga palët e tjera ose të bëra nga vetë Dhoma për Shfuqizim/Zhvlerësim. </w:t>
      </w:r>
    </w:p>
    <w:p w:rsidR="007F775E"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2. Nëse Dhoma për Shfuqizim/Zhvlerësim e konsideron të arsyeshme, ajo mund t'i ftojë palët të gjejnë një zgjidhje me mirëkuptim, nëpërmjet një marrëveshjeje, e cila, nëse arrihet, duhet të jetë me shkrim dhe e nënshkruar nga të dyja palët.</w:t>
      </w:r>
      <w:proofErr w:type="gramEnd"/>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3. Kur Dhoma për Shfuqizim/Zhvlerësim vendos se marka shfuqizohet për një ose disa mallra dhe/ose shërbime për të cilat marka është regjistruar, marka shfuqizohet në lidhje me ato mallra dhe/ose shërbime.</w:t>
      </w:r>
      <w:proofErr w:type="gramEnd"/>
      <w:r w:rsidRPr="0046598A">
        <w:rPr>
          <w:rFonts w:ascii="Times New Roman" w:hAnsi="Times New Roman" w:cs="Times New Roman"/>
          <w:sz w:val="24"/>
          <w:szCs w:val="24"/>
        </w:rPr>
        <w:t xml:space="preser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Çdo vendim i Dhomës për Shfuqizim/ Zhvlerësim në lidhje me një markë, pasi merr formë të prerë, publikohet në buletinin zyrtar dhe regjistrohet në regjistrin e markave.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41</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Shqyrtimi i kërkesave për zhvlerësimin e një marke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Dhoma për Shfuqizim/Zhvlerësim shqyrton kërkesën për zhvlerësim të një marke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dy muajve nga data e paraqitjes së saj. Gjatë shqyrtimit të kërkesës për zhvlerësimin e një marke të regjistruar, Dhoma për Shfuqizim/Zhvlerësim fton palët, për aq sa është e nevojshme, që të depozitojnë pretendimet e tyre, brenda 2 muajve nga data e marrjes së njoftimit, në lidhje me komunikimet e paraqitura nga palët e tjera ose të bëra nga vetë Dhoma për Shfuqizim/Zhvlerësim.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 rastin e një kërkese për zhvlerësimin e një marke të regjistruar, barra e provës bie mbi pronarin e markës për të cilën është kërkuar zhvlerësimi, vetëm në rast se kërkesa për zhvlerësim paraqitet sipas shkronjës “a”, të pikës 1, të nenit 174, të ligjit, i cili duhet të paraqesë prova për përdorimin e markës ose prova që ekzistojnë shkaqe të arsyeshme për mospërdorimin e markës. </w:t>
      </w:r>
    </w:p>
    <w:p w:rsidR="007F775E"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lastRenderedPageBreak/>
        <w:t>3. Kur Dhoma për Shfuqizim/Zhvlerësim vendos se marka zhvlerësohet për një ose disa mallra dhe/ose shërbime për të cilat marka është regjistruar, marka zhvlerësohet në lidhje me ato mallra dhe/ose shërbime.</w:t>
      </w:r>
      <w:proofErr w:type="gramEnd"/>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Çdo vendim i Dhomës për Shfuqizim/ Zhvlerësim për shfuqizimin e një marke të regjistruar, pasi merr formë të prerë, publikohet në buletinin zyrtar dhe regjistrohet në regjistrin për markat.</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KREU IX</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APELIMI</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 xml:space="preserve">Neni 42 </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Apelimi i vendimeve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Çdo vendim për refuzim që merret gjatë procesit të ekzaminimit mund të apelohet në Dhomën për Shfuqizim/Zhvlerësim brenda 1 muaji nga data e marrjes së vendimit, përveç rastit kur parashikohet ndryshe në ligj ose në këtë rregullore.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 Vendimet që mund të apelohen në bordin e apelimit, janë:</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2.1 Vendimet e marra nga Dhoma për Shqyrtimin e Kundërshtimeve;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2.2 Vendimet e marra nga Dhoma për Shfuqizim/Zhvlerësim;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2.3 Vendimet për rivendosjen në afat.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Apelimi i një vendimi sjell si pasojë pezullimin e ndjekjes së mëtejshme të procedurës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Vendimet e parashikuara më lart hyjnë në fuqi pasi marrin formë të prerë. </w:t>
      </w:r>
    </w:p>
    <w:p w:rsidR="007F775E" w:rsidRPr="0046598A" w:rsidRDefault="009A47D1" w:rsidP="007F775E">
      <w:pPr>
        <w:jc w:val="center"/>
        <w:rPr>
          <w:rFonts w:ascii="Times New Roman" w:hAnsi="Times New Roman" w:cs="Times New Roman"/>
          <w:sz w:val="24"/>
          <w:szCs w:val="24"/>
        </w:rPr>
      </w:pPr>
      <w:r w:rsidRPr="0046598A">
        <w:rPr>
          <w:rFonts w:ascii="Times New Roman" w:hAnsi="Times New Roman" w:cs="Times New Roman"/>
          <w:sz w:val="24"/>
          <w:szCs w:val="24"/>
        </w:rPr>
        <w:t>Neni 43</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Procedurat e apelimit</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Procedura e apelimit kundër një vendimi të zyrës fillon me paraqitjen e kërkesës për apelim në strukturën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Kërkesa për apelim, sipas pikës 1, të nenit 42, të kësaj rregulloreje përmban: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 Formularin për apelimin vendimeve të refuzimit në Dhomën për Shfuqizim/Zhvlerësim që i bashkëlidhet kësaj rregulloreje, në të cilin do të jepen të dhënat e mëposhtme: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2.1.1 Emri dhe adresa e apeluesit, në përputhje me nenin 62 të kësaj rregulloreje;</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2.1.2 Vendimi i zyrës ndaj të cilit është depozituar apelimi;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2.1.3 Numri i aplikimit të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2.1.4 Një tregues që përcakton nëse kemi të bëjmë me një apelim të pjesshëm apo të plotë të vendimit të zyrës.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2.2 Bazën ligjore ku është mbështetur apelimi;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2.3 Argumentet dhe/ose provat mbi të cilat mbështetet apelimi;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2.4 Pagesën e tarifës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2.5 Autorizimin e përfaqësimit, nëse apelimi është depozituar nga një përfaqësues.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Kërkesa për apelim, sipas pikës 2, të nenit 42, </w:t>
      </w:r>
      <w:proofErr w:type="gramStart"/>
      <w:r w:rsidRPr="0046598A">
        <w:rPr>
          <w:rFonts w:ascii="Times New Roman" w:hAnsi="Times New Roman" w:cs="Times New Roman"/>
          <w:sz w:val="24"/>
          <w:szCs w:val="24"/>
        </w:rPr>
        <w:t>të</w:t>
      </w:r>
      <w:proofErr w:type="gramEnd"/>
      <w:r w:rsidRPr="0046598A">
        <w:rPr>
          <w:rFonts w:ascii="Times New Roman" w:hAnsi="Times New Roman" w:cs="Times New Roman"/>
          <w:sz w:val="24"/>
          <w:szCs w:val="24"/>
        </w:rPr>
        <w:t xml:space="preserve"> kësaj rregulloreje, përmban: 3.1 Formularin e aplikimit për apelimin e vendimit në bordin e apelit, që i bashkëlidhet kësaj rregulloreje, në të cilin do të jepen të dhënat, si më poshtë vijon: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3.1.1 Emri dhe adresa e apeluesit, në përputhje me nenin 62 të kësaj rregulloreje;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3.1.2 Vendimi i zyrës ndaj të cilit është depozituar apelimi;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3.1.3 Numri i aplikimit ose i regjistrimit të markës;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3.1.4 Një tregues që përcakton nëse kemi të bëjmë me një apelim të pjesshëm apo të plotë të vendimit të zyrës.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3.2 Argumentet dhe/ose provat mbi të cilat mbështetet apelimi;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3.3 Pagesën e tarifës përkatëse;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3.4 Autorizimin e përfaqësimit, nëse apelimi është depozituar nga një përfaqësues.</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Kërkesa për apelim depozitohet si kërkesë më vete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kopje të njëjta.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Çdo strukturë përkatëse, si: Dhoma për Shqyrtimin e Kundërshtimeve, Dhoma për Shfuqizim/Zhvlerësim dhe bordi i apelit, kur shqyrton një kërkesë, në përputhje me kompetencat përkatëse të parashikuara në ligj dhe në këtë rregullore, duhet të shprehet me pranimin, pranimin e pjesshëm ose rrëzimin e kërkesës, objekt shqyrtimi. </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Pretendimi i një pale kundërshtare, që nuk lidhet me objektin e kërkesës, nuk merret në shqyrtim nga bordi i apelimit. </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Neni 44</w:t>
      </w:r>
    </w:p>
    <w:p w:rsidR="007F775E" w:rsidRPr="0046598A" w:rsidRDefault="009A47D1" w:rsidP="007F775E">
      <w:pPr>
        <w:jc w:val="center"/>
        <w:rPr>
          <w:rFonts w:ascii="Times New Roman" w:hAnsi="Times New Roman" w:cs="Times New Roman"/>
          <w:b/>
          <w:sz w:val="24"/>
          <w:szCs w:val="24"/>
        </w:rPr>
      </w:pPr>
      <w:r w:rsidRPr="0046598A">
        <w:rPr>
          <w:rFonts w:ascii="Times New Roman" w:hAnsi="Times New Roman" w:cs="Times New Roman"/>
          <w:b/>
          <w:sz w:val="24"/>
          <w:szCs w:val="24"/>
        </w:rPr>
        <w:t>Shqyrtimi i kërkesave nga bordi i apelimit</w:t>
      </w:r>
    </w:p>
    <w:p w:rsidR="007F775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 Sekretari i bordit të apelimit,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paraqitjes së kërkesës për apelim, kontrollon kërkesën nëse përmban dokumentet e parashikuara në pikën 3, të nenit 43, të kësaj rregulloreje.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Kur një kërkesë për apelim është paraqitur në përputhje me pikën 3, të nenit 43, të kësaj rregulloreje, sekretari i bordit të apelimit i dërgon palës kundër së cilës është paraqitur apelimi, një kopje të kërkesës për apelim, si dhe e njofton atë të paraqesë, brenda dy muajve nga data e marrjes së njoftimit, argumentet dhe çdo dokument tjetër në lidhje me apelimin.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 rast se një kërkesë për apelim nuk është paraqitur në përputhje me kushtet e parashikuara në pikën 3, të nenit 43, të kësaj rregulloreje, sekretari i bordit të apelimit e njofton me relacion me shkrim bordin e apelit, i cili e refuzon kërkesën për apelim dhe njofton apeluesin për vendimin e marrë.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Sekretari i bordit të apelimit,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1 muaji nga mbarimi i afatit të parashikuar në pikën 2 të këtij neni, i paraqet bordit për shqyrtim kërkesën për apelim.</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5. Bordi i apelit e shqyrton një kërkesë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tre muajve nga data e paraqitjes së saj në bord.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Gjatë shqyrtimit të një kërkese apelimi, bordi i apelit, kur e konsideron të arsyeshme, ka të drejtë t’u kërkojë palëve, nëpërmjet një njoftimi me shkrim, të paraqesin prova dhe dokumente të tjera shtesë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periudhe të arsyeshme, por, në çdo rast, jo më vonë se një muaj nga data e marrjes së njoftimit nga pala.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Nëse bordi i apelit e konsideron të arsyeshme, i fton palët në seanca dëgjimore, si dhe u kërkon atyre të gjejnë një zgjidhje me mirëkuptim, e cila, nëse arrihet, duhet të materializohet në një marrëveshje me shkrim të nënshkruar nga të dyja palët para noterit ose para bordit të apelit.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8. Sekretari i bordit i njofton palët e interesuara menjëherë pas marrjes së vendimit të bordit të apelit, por, në çdo rast, </w:t>
      </w:r>
      <w:proofErr w:type="gramStart"/>
      <w:r w:rsidRPr="0046598A">
        <w:rPr>
          <w:rFonts w:ascii="Times New Roman" w:hAnsi="Times New Roman" w:cs="Times New Roman"/>
          <w:sz w:val="24"/>
          <w:szCs w:val="24"/>
        </w:rPr>
        <w:t>jo</w:t>
      </w:r>
      <w:proofErr w:type="gramEnd"/>
      <w:r w:rsidRPr="0046598A">
        <w:rPr>
          <w:rFonts w:ascii="Times New Roman" w:hAnsi="Times New Roman" w:cs="Times New Roman"/>
          <w:sz w:val="24"/>
          <w:szCs w:val="24"/>
        </w:rPr>
        <w:t xml:space="preserve"> më vonë se 1 muaj nga marrja e vendimit.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45</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Efekti i vendimeve</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Vendimi i bordit të apelit merr formë të prerë nga e nesërmja e datës së mbarimit të afatit për ankim në gjykatë, kur asnjë nga palët nuk ka bërë ankim kundër vendimit të bordit.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 Kur vendimi i bordit të apelit ose vendimi i gjykatës merr formë të prerë, zyra ekzekuton vendimin sipas legjislacionit në fuqi.</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 Në rast ankimi të vendimit të bordit të apelit në gjykatë, ankimuesi ka detyrimin të njoftojë DPPI-në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1 muaji nga data e depozitimit të ankimit në gjykatë, me qëllim që të shmanget ekzekutimi i vendimit të bordit të apelit.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lastRenderedPageBreak/>
        <w:t>KREU X</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REGJISTRIMET NDËRKOMBËTARE</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46</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Aplikimi për regjistrim ndërkombëtar të markës dhe shqyrtimi i aplikimit nga zyra</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Aplikimi për regjistrim ndërkombëtar të markës përmban: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Formularin e përcaktuar nga Byroja Ndërkombëtare e WIPO-s, me specifikimet, si më poshtë vijon: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1.1.1 Numri i aplikimit ose i regjistrimit të markës mbi të cilin bazohet aplikimi për regjistrim ndërkombëtar (në vijim, aplikimi ose regjistrimi bazë);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1.1.2 Emri dhe adresa e aplikantit;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1.1.3 Emri dhe adresa e përfaqësuesit të autorizuar, nëse është caktuar një i tillë;</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1.1.4 Përfaqësimi (pamja) i markës, e cila duhet të depozitohet identike si në aplikimin ose regjistrimin kombëtar.</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1.1.5 Të dhëna në lidhje me prioritetin, kur pretendohet për prioritet;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1.1.6 Nëse regjistrimi i markës është kërkuar me ngjyrë, një tregues në lidhje me këtë fakt, si dhe emrat e ngjyrave që aplikanti i pretendon si karakteristika dalluese të markës. Ngjyrat duhet të tregohen sipas përcaktimeve të rregullores së përbashkët;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1.1.7 Lista e mallrave dhe/ose shërbimeve për të cilat është kërkuar regjistrimi ndërkombëtar, në gjuhën e përcaktuar nga rregullorja e përbashkët. Lista e mallrave dhe/ose shërbimeve mund të mbulojë të gjithë mallrat ose shërbimet e aplikimit bazë ose një pjesë të tyre;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1.1.8 Vendet anëtare të Unionit të Madridit, për të cilat kërkohet shtrirja e regjistrimit ndërkombëtar;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1.1.9 Përshkrimi i markës në aplikimin ndërkombëtar duhet të jetë i njëjtë me atë të aplikimit/regjistrimit bazë. </w:t>
      </w:r>
      <w:proofErr w:type="gramStart"/>
      <w:r w:rsidRPr="0046598A">
        <w:rPr>
          <w:rFonts w:ascii="Times New Roman" w:hAnsi="Times New Roman" w:cs="Times New Roman"/>
          <w:sz w:val="24"/>
          <w:szCs w:val="24"/>
        </w:rPr>
        <w:t>Përkthimi i markës duhet të bëhet në një nga gjuhët e përcaktuara në rregulloren e përbashkët.</w:t>
      </w:r>
      <w:proofErr w:type="gramEnd"/>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1.1.10 Nënshkrimi i aplikantit ose i përfaqësuesit të tij.</w:t>
      </w:r>
      <w:proofErr w:type="gramEnd"/>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1.2 Pagesat e tarifave përkatëse.</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Formulari sipas </w:t>
      </w:r>
      <w:r w:rsidR="001E5C2E" w:rsidRPr="0046598A">
        <w:rPr>
          <w:rFonts w:ascii="Times New Roman" w:hAnsi="Times New Roman" w:cs="Times New Roman"/>
          <w:sz w:val="24"/>
          <w:szCs w:val="24"/>
        </w:rPr>
        <w:t>pikes</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 duhet të paraqitet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kopje të njëjta.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Zyra ekzaminon nëse aplikimi ndërkombëtar është depozituar në përputhje me rregullat e lartpërmendura dhe lëshon një njoftim për plotësim të parregullsive të aplikimit në rast se konstaton mospërputhje midis aplikimit bazë dhe aplikimit ndërkombëtar.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Aplikanti duhet të plotësojë parregullsitë e aplikimit të konstatuara nga zyra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një muaji nga data e marrjes së njoftimit.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Në rast së aplikanti nuk plotëson parregullsitë e aplikimit, zyra refuzon që të dërgojë aplikimin ndërkombëtar në WIPO-s.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Të njëjtat rregulla do të zbatohen edhe në rast të një kërkese për shtrirje territoriale të markës në vijim të aplikimit ndërkombëtar, në përputhje me nenin 3 (ter) (2) të Protokollit të Madridit. </w:t>
      </w:r>
      <w:proofErr w:type="gramStart"/>
      <w:r w:rsidRPr="0046598A">
        <w:rPr>
          <w:rFonts w:ascii="Times New Roman" w:hAnsi="Times New Roman" w:cs="Times New Roman"/>
          <w:sz w:val="24"/>
          <w:szCs w:val="24"/>
        </w:rPr>
        <w:t>Kërkesa për shtrirje territoriale në vijim të aplikimit ndërkombëtar mund të depozitohet nëpërmjet ndërmjetësimit të zyrës.</w:t>
      </w:r>
      <w:proofErr w:type="gramEnd"/>
      <w:r w:rsidRPr="0046598A">
        <w:rPr>
          <w:rFonts w:ascii="Times New Roman" w:hAnsi="Times New Roman" w:cs="Times New Roman"/>
          <w:sz w:val="24"/>
          <w:szCs w:val="24"/>
        </w:rPr>
        <w:t xml:space="preserve">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47</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Kërkesa për regjistrimin e ndryshimeve në regjistrin ndërkombëtar</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Kërkesa për regjistrimin e ndryshimeve në regjistrin ndërkombëtar duhet të përmbajë: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Formularin përkatës të përcaktuar nga Byroja Ndërkombëtare e WIPO-s;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Dokumentin që vërteton ndryshimin përkatës në regjistër;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Pagesat e tarifave përkatëse.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Formulari sipas pikës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duhet të paraqitet në </w:t>
      </w:r>
      <w:proofErr w:type="gramStart"/>
      <w:r w:rsidRPr="0046598A">
        <w:rPr>
          <w:rFonts w:ascii="Times New Roman" w:hAnsi="Times New Roman" w:cs="Times New Roman"/>
          <w:sz w:val="24"/>
          <w:szCs w:val="24"/>
        </w:rPr>
        <w:t>dy</w:t>
      </w:r>
      <w:proofErr w:type="gramEnd"/>
      <w:r w:rsidRPr="0046598A">
        <w:rPr>
          <w:rFonts w:ascii="Times New Roman" w:hAnsi="Times New Roman" w:cs="Times New Roman"/>
          <w:sz w:val="24"/>
          <w:szCs w:val="24"/>
        </w:rPr>
        <w:t xml:space="preserve"> kopje identike.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Kërkesa për regjistrimin e ndryshimeve në regjistrimin ndërkombëtar do të ekzaminohet nga zyra, në përputhje me rregullat e përcaktuara në Marrëveshjen e Madridit dhe/ose Protokollin e Madridit.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48</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Transformimi i një marke ndërkombëtare në një aplikim kombëtar për regjistrim marke</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Kërkesa për transformimin e një marke ndërkombëtare në një aplikim për regjistrim kombëtar duhet të depozitohet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tre muajve nga data në të cilën regjistrimi ndërkombëtar është anuluar dhe duhet të shoqërohet me dokumentet, si më poshtë vijon:</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 Formularin për transformimin e një marke ndërkombëtare në aplikim kombëtar;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Dokumentin që vërteton se aplikimi ndërkombëtar është anuluar nga OBIP-ja, bazuar në kërkesën e zyrës së origjinës. </w:t>
      </w:r>
      <w:proofErr w:type="gramStart"/>
      <w:r w:rsidRPr="0046598A">
        <w:rPr>
          <w:rFonts w:ascii="Times New Roman" w:hAnsi="Times New Roman" w:cs="Times New Roman"/>
          <w:sz w:val="24"/>
          <w:szCs w:val="24"/>
        </w:rPr>
        <w:t>Ky</w:t>
      </w:r>
      <w:proofErr w:type="gramEnd"/>
      <w:r w:rsidRPr="0046598A">
        <w:rPr>
          <w:rFonts w:ascii="Times New Roman" w:hAnsi="Times New Roman" w:cs="Times New Roman"/>
          <w:sz w:val="24"/>
          <w:szCs w:val="24"/>
        </w:rPr>
        <w:t xml:space="preserve"> dokument duhet të depozitohet i përkthyer në gjuhën shqipe;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1.3 Autorizimin e përfaqësimit, në rast se kërkesa depozitohet nga përfaqësuesi;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1.4 Pagesën e tarifës përkatëse.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Kërkesat për transformimin e një aplikimi ndërkombëtar në një aplikim për regjistrim kombëtar do t’i nënshtrohen të njëjtave procedura ekzaminimi si një aplikim kombëtar.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Nëse gjatë ekzaminimit për formalitete zyra konstaton se kërkesa për transformim nuk është depozituar brenda afatit 3-mujor të përcaktuar në pikën 1 të këtij neni, ose mallrat dhe/ose shërbimet për të cilat marka kërkon të regjistrohet nuk përmbahen në listën e mallrave dhe/ose shërbimeve për të cilat regjistrimi ndërkombëtar ishte regjistruar, zyra njofton aplikantin për plotësimin e të metave brenda 3 muajve nga data e marrjes së njoftimit.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Nëse të metat, sipas pikës 3 të këtij neni, nuk plotësohen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të përcaktuar nga zyra, e drejta për datën e regjistrimit ndërkombëtar ose të shtrirjes territoriale dhe e drejta e prioritetit, nëse është pretenduar për prioritet, do të humbasë. </w:t>
      </w:r>
      <w:proofErr w:type="gramStart"/>
      <w:r w:rsidRPr="0046598A">
        <w:rPr>
          <w:rFonts w:ascii="Times New Roman" w:hAnsi="Times New Roman" w:cs="Times New Roman"/>
          <w:sz w:val="24"/>
          <w:szCs w:val="24"/>
        </w:rPr>
        <w:t>Nëse kërkesa për transformim refuzohet nga zyra, aplikimi do të ekzaminohet si një aplikim i rregullt kombëtar.</w:t>
      </w:r>
      <w:proofErr w:type="gramEnd"/>
      <w:r w:rsidRPr="0046598A">
        <w:rPr>
          <w:rFonts w:ascii="Times New Roman" w:hAnsi="Times New Roman" w:cs="Times New Roman"/>
          <w:sz w:val="24"/>
          <w:szCs w:val="24"/>
        </w:rPr>
        <w:t xml:space="preserve">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KREU XI</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MARKAT KOLEKTIVE</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49</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Rregulloret e përdorimit</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Aplikanti i një marke kolektive duhet të depozitojë rregulloren e përdorimit të markës kolektive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tre muajve nga data e depozitimit.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Rregullorja e përdorimit duhet të specifikojë: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2.1 Personat e autorizuar për të përdorur markën; 2.2 Kushtet e anëtarësisë në organizatë;</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2.3 Kushtet e përdorimit të markës, kur është e mundur;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2.4 Sanksionet.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Rregullorja e përdorimit të markës duhet të autorizojë çdo person, mallrat ose shërbimet e të cilit kanë origjinën në zonën gjeografike përkatëse, për t’u bërë anëtar i organizatës që është pronare e markës.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Përdorimi i një marke kolektive nga çdo person që ka të drejtë ta përdorë atë, duhet të përmbushë kërkesat e ligjit dhe të kësaj rregulloreje, me kusht që të përmbushen edhe kërkesat e tjera të parashikuara nga ligji dhe kjo rregullore në lidhje me përdorimin e markave.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50</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lastRenderedPageBreak/>
        <w:t>Refuzimi i aplikimit</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Përveç bazave për refuzim për një aplikim për markë, sipas neneve 142 e 143 të ligjit, aplikimi për një markë kolektive do të refuzohet kur nuk përmbushen kushtet e parashikuara në nenin 165 të ligjit dhe në nenin 49 të kësaj rregulloreje, ose kur rregullorja e përdorimit është në kundërshtim me politikat publike ose parimet e moralit.</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Aplikimi për një markë kolektive do të refuzohet, gjithashtu, nëse ekziston mundësia që publiku të keqorientohet në lidhje me karakterin apo domethënien e markës, në veçanti, nëse ekziston mundësia që të kuptohet si e ndryshme nga një markë kolektive.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 Aplikimi nuk do të refuzohet nëse aplikanti, si rezultat i ndryshimeve në rregulloren e përdorimit, përmbush kërkesat e paragrafëve 1 e 2.</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51</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Ndryshimet në rregullore lidhur me përdorimin e markave kolektive</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1. Pronari i një marke kolektive duhet të depozitojë pranë zyrës çdo ndryshim të rregullores së përdorimit të markës.</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Ndryshimet nuk do të pasqyrohen në regjistër nëse nuk përmbushin kërkesat e parashikuara në nenin 49 të kësaj rregulloreje ose përmbajnë ndonjë nga bazat për refuzim të parashikuara në nenin 50 të kësaj rregulloreje.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Për qëllim të aplikimit të kësaj rregulloreje, ndryshimet në rregulloren e përdorimit do t’i fillojnë efektet nga data e regjistrimit të tyre në regjistër.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Forma e aplikimit për ndryshim në regjistër të rregullores së përdorimit të markës kolektive, si dhe procedurat e shqyrtimit të këtyre kërkesave nga zyra do të jenë sipas neneve 33 e 35 të kësaj rregulloreje.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KREU XII</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MARKAT CERTIFIKUESE</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52</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Rregullorja e përdorimit të markës certifikuese</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Aplikanti i një marke certifikuese duhet të depozitojë rregulloren që parashikon rregullat e përdorimit të markës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tre muajve nga data e depozitimit.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Rregullorja duhet të specifikojë personat e autorizuar për të përdorur markën, karakteristikat që do të certifikohen nga marka, si do të testohen këto karakteristika nga autoriteti certifikues dhe mbikëqyrjen e përdorimit të markës.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Rregullorja duhet të parashikojë kushtet e përdorimit të markës, duke përfshirë edhe sanksionet. </w:t>
      </w:r>
    </w:p>
    <w:p w:rsidR="001E5C2E" w:rsidRPr="0046598A" w:rsidRDefault="009A47D1" w:rsidP="001E5C2E">
      <w:pPr>
        <w:jc w:val="center"/>
        <w:rPr>
          <w:rFonts w:ascii="Times New Roman" w:hAnsi="Times New Roman" w:cs="Times New Roman"/>
          <w:sz w:val="24"/>
          <w:szCs w:val="24"/>
        </w:rPr>
      </w:pPr>
      <w:r w:rsidRPr="0046598A">
        <w:rPr>
          <w:rFonts w:ascii="Times New Roman" w:hAnsi="Times New Roman" w:cs="Times New Roman"/>
          <w:sz w:val="24"/>
          <w:szCs w:val="24"/>
        </w:rPr>
        <w:t>Neni 53</w:t>
      </w:r>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Refuzimi i aplikimit</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Përveç bazave për refuzimin e regjistrimit të një marke, sipas neneve 141 e 142 të ligjit, aplikimi për regjistrimin e një marke certifikuese do të refuzohet kur nuk plotësohen kushtet e vendosura në nenin 166 të ligjit dhe në nenin 52 të kësaj rregulloreje, ose kur rregullorja në lidhje me përdorimin e markës është në kundërshtim me parimet morale apo rendin publik.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Një aplikim për markë certifikuese do të refuzohet gjithashtu nëse publiku mund të keqorientohet në lidhje me karakterin apo rëndësinë e markës, veçanërisht nëse ajo mund të interpretohet si diçka e ndryshme nga një markë certifikuese. </w:t>
      </w:r>
    </w:p>
    <w:p w:rsidR="001E5C2E"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Aplikimi nuk do të refuzohet nëse aplikanti ndryshon rregulloren e përdorimit të markës, duke plotësuar kërkesat e paragrafëve 1 e 2. </w:t>
      </w:r>
    </w:p>
    <w:p w:rsidR="001E5C2E" w:rsidRPr="0046598A" w:rsidRDefault="009A47D1" w:rsidP="001E5C2E">
      <w:pPr>
        <w:jc w:val="center"/>
        <w:rPr>
          <w:rFonts w:ascii="Times New Roman" w:hAnsi="Times New Roman" w:cs="Times New Roman"/>
          <w:sz w:val="24"/>
          <w:szCs w:val="24"/>
        </w:rPr>
      </w:pPr>
      <w:proofErr w:type="gramStart"/>
      <w:r w:rsidRPr="0046598A">
        <w:rPr>
          <w:rFonts w:ascii="Times New Roman" w:hAnsi="Times New Roman" w:cs="Times New Roman"/>
          <w:sz w:val="24"/>
          <w:szCs w:val="24"/>
        </w:rPr>
        <w:t xml:space="preserve">Neni </w:t>
      </w:r>
      <w:r w:rsidR="001E5C2E" w:rsidRPr="0046598A">
        <w:rPr>
          <w:rFonts w:ascii="Times New Roman" w:hAnsi="Times New Roman" w:cs="Times New Roman"/>
          <w:sz w:val="24"/>
          <w:szCs w:val="24"/>
        </w:rPr>
        <w:t xml:space="preserve"> </w:t>
      </w:r>
      <w:r w:rsidRPr="0046598A">
        <w:rPr>
          <w:rFonts w:ascii="Times New Roman" w:hAnsi="Times New Roman" w:cs="Times New Roman"/>
          <w:sz w:val="24"/>
          <w:szCs w:val="24"/>
        </w:rPr>
        <w:t>54</w:t>
      </w:r>
      <w:proofErr w:type="gramEnd"/>
    </w:p>
    <w:p w:rsidR="001E5C2E" w:rsidRPr="0046598A" w:rsidRDefault="009A47D1" w:rsidP="001E5C2E">
      <w:pPr>
        <w:jc w:val="center"/>
        <w:rPr>
          <w:rFonts w:ascii="Times New Roman" w:hAnsi="Times New Roman" w:cs="Times New Roman"/>
          <w:b/>
          <w:sz w:val="24"/>
          <w:szCs w:val="24"/>
        </w:rPr>
      </w:pPr>
      <w:r w:rsidRPr="0046598A">
        <w:rPr>
          <w:rFonts w:ascii="Times New Roman" w:hAnsi="Times New Roman" w:cs="Times New Roman"/>
          <w:b/>
          <w:sz w:val="24"/>
          <w:szCs w:val="24"/>
        </w:rPr>
        <w:t>Përdorimi i markës certifikuese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Përdorimi i një marke certifikuese nga çdo person që ka të drejtën ta përdorë atë sipas rregullores, të referuar në nenin 52 të kësaj rregulloreje, duhet të përmbushë kërkesat e ligjit dhe të kësaj rregulloreje, me kusht që të përmbushen edhe kërkesat e tjera të parashikuara nga ligji dhe nga kjo rregullore në lidhje me përdorimin e markave.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Neni 55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Ndryshimet në rregulloren e përdorimit të markës certifikuese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Pronari i markës certifikuese duhet të depozitojë pranë zyrës çdo ndryshim në rregulloren e përdorimit të markës.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Ndryshimet nuk duhet të pasqyrohen në regjistër nëse nuk plotësojnë kërkesat e nenit 52 të kësaj rregulloreje ose përmbajnë ndonjë nga bazat për refuzim të përmendura në nenin 53 të kësaj rregulloreje.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Për qëllim të kësaj rregulloreje, ndryshimet e rregullores së përdorimit do fillojnë efektet nga data e regjistrimit të këtyre ndryshimeve në regjistër.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4. Një markë certifikuese mund të transferohet vetëm te personat që përmbushin kriteret e nenit 166 të ligjit.</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56</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lastRenderedPageBreak/>
        <w:t>Bazat për shfuqizim</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Përveç arsyeve për shfuqizim, të parashikuara në nenin 173 të ligjit, të drejtat e pronarit të markës së certifikuar do të shfuqizohen me anë të një kërkese në zyrë, kur plotësohet ndonjë nga kushtet e mëposhtme: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Pronari nuk i plotëson më kërkesat e nenit 166 të ligjit;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Pronari nuk ndërmerr masa të arsyeshme për të parandaluar përdorimin e markës certifikuese në një mënyrë që vjen në kundërshtim me kushtet e përcaktuara në rregulloren e përdorimit, ndryshimet e saj, të cilat janë pasqyruar në regjistër;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 Mënyra e përdorimit të markës certifikuese nga pronari ka sjellë keqorientim të publikut;</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4. Ndryshimet në rregulloren e përdorimit, të cilat janë regjistruar në regjistër, në kundërshtim me nenin 55 të kësaj rregulloreje, përveçse nëse pronari i markës, duke ndryshuar më tej rregulloren e përdorimit, përmbush kërkesat e nenit të përmendur më sipër.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57</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Bazat për zhvlerësim</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Përveç bazave për zhvlerësimin e markës të parashikuar në nenin 174 të ligjit, një markë certifikuese e regjistruar do të zhvlerësohet nëpërmjet një kërkese drejtuar zyrës, përveçse kur pronari i markës certifikuese ndryshon rregulloren e përdorimit, duke përmbushur kërkesat e nenit 53 të kësaj rregulloreje.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KREU XIII</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KRITERET NË LIDHJE ME MARKAT E MIRËNJOHURA</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58</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Kriteret për markat e mirënjohura</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Autoriteti kompetent në përcaktimin e markave të mirënjohura do t’i referohet rekomandimit të përbashkët lidhur me dispozitat për mbrojtjen e markave të mirënjohura të miratuar nga Asambleja e Unionit të Parisit për Mbrojtjen e Pronësisë Industriale dhe Asambleja e Përgjithshme e Organizatës Botërore të Pronësisë Intelektuale.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Për të përcaktuar nëse një markë është e mirënjohur, autoriteti kompetent merr në konsideratë informacionin e paraqitur në lidhje me kriteret dhe rrethanat, sipas të cilave mund të rezultojë nëse një markë është ose </w:t>
      </w:r>
      <w:proofErr w:type="gramStart"/>
      <w:r w:rsidRPr="0046598A">
        <w:rPr>
          <w:rFonts w:ascii="Times New Roman" w:hAnsi="Times New Roman" w:cs="Times New Roman"/>
          <w:sz w:val="24"/>
          <w:szCs w:val="24"/>
        </w:rPr>
        <w:t>jo</w:t>
      </w:r>
      <w:proofErr w:type="gramEnd"/>
      <w:r w:rsidRPr="0046598A">
        <w:rPr>
          <w:rFonts w:ascii="Times New Roman" w:hAnsi="Times New Roman" w:cs="Times New Roman"/>
          <w:sz w:val="24"/>
          <w:szCs w:val="24"/>
        </w:rPr>
        <w:t xml:space="preserve"> e mirënjohur, duke përfshirë kriteret e mëposhtme, por pa u kufizuar vetëm në to: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2.1 Shkalla e njohjes apo njohja e markës në sektorin përkatës të publikut;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2.2 Kohëzgjatja, shtrirja dhe hapësira gjeografike në të cilën përdoret marka;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2.3 Kohëzgjatja, shtrirja dhe hapësira gjeografike e promovimit të markës, duke përfshirë reklamat, publicitetet ose prezantimet në panaire ose ekspozita, të mallrave dhe/ose shërbimeve mbi të cilat aplikohet marka;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2.4 Kohëzgjatja dhe hapësira gjeografike e çdo regjistrimi dhe/ose e çdo aplikimi për regjistrim të markës, në masën që ato pasqyrojnë përdorimin ose njohjen e markës;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2.5 Të dhënat e zbatimit të suksesshëm të të drejtave të lidhura me markën dhe, në veçanti, shkalla në të cilën marka është pranuar si e mirënjohur nga autoritetet kompetente;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2.6 Vlera e lidhur me markën.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Kriteret e mësipërme shërbejnë si udhëzues për të ndihmuar autoritetin kompetent që të përcaktojë nëse një markë është e mirënjohur, por nuk janë parakushte për të arritur këtë përcaktim. Megjithatë, përcaktimi nëse një markë është e mirënjohur apo </w:t>
      </w:r>
      <w:proofErr w:type="gramStart"/>
      <w:r w:rsidRPr="0046598A">
        <w:rPr>
          <w:rFonts w:ascii="Times New Roman" w:hAnsi="Times New Roman" w:cs="Times New Roman"/>
          <w:sz w:val="24"/>
          <w:szCs w:val="24"/>
        </w:rPr>
        <w:t>jo</w:t>
      </w:r>
      <w:proofErr w:type="gramEnd"/>
      <w:r w:rsidRPr="0046598A">
        <w:rPr>
          <w:rFonts w:ascii="Times New Roman" w:hAnsi="Times New Roman" w:cs="Times New Roman"/>
          <w:sz w:val="24"/>
          <w:szCs w:val="24"/>
        </w:rPr>
        <w:t xml:space="preserve"> do të varet nga rrethanat specifike të çdo rasti. </w:t>
      </w:r>
      <w:proofErr w:type="gramStart"/>
      <w:r w:rsidRPr="0046598A">
        <w:rPr>
          <w:rFonts w:ascii="Times New Roman" w:hAnsi="Times New Roman" w:cs="Times New Roman"/>
          <w:sz w:val="24"/>
          <w:szCs w:val="24"/>
        </w:rPr>
        <w:t>Në disa raste, mund të nevojiten të gjitha kriteret e mësipërme të marra së bashku për të bërë një përcaktim të tillë, në disa raste të tjera mund të mjaftojnë vetëm disa prej këtyre kritereve.</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Në raste të tjera të caktuara, mund të konsiderohen edhe kritere të tjera shtesë që nuk janë renditur më sipër.</w:t>
      </w:r>
      <w:proofErr w:type="gramEnd"/>
      <w:r w:rsidRPr="0046598A">
        <w:rPr>
          <w:rFonts w:ascii="Times New Roman" w:hAnsi="Times New Roman" w:cs="Times New Roman"/>
          <w:sz w:val="24"/>
          <w:szCs w:val="24"/>
        </w:rPr>
        <w:t xml:space="preserve">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59</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Sektori përkatës i publikut</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Sektori përkatës i publikut përfshin, por nuk do të kufizohet vetëm në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vijon: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Konsumatorët faktikë/përkatës ose potencialë që faktikisht blejnë ose përdorin ose do të blejnë ose do të përdorin në të ardhmen mallra ose shërbime;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Personat e përfshirë në rrugët ose kanalet e shpërndarjes së mallrave dhe/ose të shërbimeve për të cilat mbrohet marka;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Rrethet ose qarqet e biznesit që kanë të bëjnë me mallrat dhe/ose shërbimet për të cilat mbrohet marka.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Kur një markë është përcaktuar si e mirënjohur në të paktën një sektor përkatës të publikut në </w:t>
      </w:r>
      <w:proofErr w:type="gramStart"/>
      <w:r w:rsidRPr="0046598A">
        <w:rPr>
          <w:rFonts w:ascii="Times New Roman" w:hAnsi="Times New Roman" w:cs="Times New Roman"/>
          <w:sz w:val="24"/>
          <w:szCs w:val="24"/>
        </w:rPr>
        <w:t>vend,</w:t>
      </w:r>
      <w:proofErr w:type="gramEnd"/>
      <w:r w:rsidRPr="0046598A">
        <w:rPr>
          <w:rFonts w:ascii="Times New Roman" w:hAnsi="Times New Roman" w:cs="Times New Roman"/>
          <w:sz w:val="24"/>
          <w:szCs w:val="24"/>
        </w:rPr>
        <w:t xml:space="preserve"> marka mund të konsiderohet se është e mirënjohur.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Kur një markë është përcaktuar si e njohur në të paktën një sektor përkatës të publikut në </w:t>
      </w:r>
      <w:proofErr w:type="gramStart"/>
      <w:r w:rsidRPr="0046598A">
        <w:rPr>
          <w:rFonts w:ascii="Times New Roman" w:hAnsi="Times New Roman" w:cs="Times New Roman"/>
          <w:sz w:val="24"/>
          <w:szCs w:val="24"/>
        </w:rPr>
        <w:t>vend,</w:t>
      </w:r>
      <w:proofErr w:type="gramEnd"/>
      <w:r w:rsidRPr="0046598A">
        <w:rPr>
          <w:rFonts w:ascii="Times New Roman" w:hAnsi="Times New Roman" w:cs="Times New Roman"/>
          <w:sz w:val="24"/>
          <w:szCs w:val="24"/>
        </w:rPr>
        <w:t xml:space="preserve"> marka mund të konsiderohet se është e mirënjohur.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Një markë e mirënjohur do të konsiderohet si e tillë edhe nëse nuk përcaktohet si e mirënjohur ose e njohur në ndonjë sektor përkatës të publikut.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lastRenderedPageBreak/>
        <w:t>Neni 60</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Kriteret që përjashtohen nga përcaktimi i markave të mirënjohura</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Autoriteti kompetent nuk duhet të kërkojë si kusht për përcaktimin e një marke si markë të mirënjohur, që: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Marka të jetë përdorur ose të jetë regjistruar ose që të jetë aplikuar për regjistrimin e markës në vend;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Marka të jetë përdorur ose të jetë regjistruar ose që të jetë aplikuar për regjistrimin e markës në ndonjë juridiksion tjetër të ndryshëm nga ai i vendit;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1.3 Marka të jetë e mirënjohur nga publiku i gjerë në vend.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2. Për qëllime të zbatimit të pikës 3, të nenit 59, të kësaj rregulloreje, autoriteti kompetent mund të kërkojë që marka të jetë e mirënjohur në një ose disa juridiksione të ndryshme nga ai i vendit.</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KREU XIV</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INFORMACIONI I DISPONUESHËM PËR PUBLIKUN DHE AUTORITETET E TJERA</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61</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Inspektimi i dosjeve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Dosja që i përket një aplikimi për regjistrim marke ende të papublikuar nuk mund të inspektohet pa pëlqimin e aplikantit.</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2. Çdo person që vërteton se aplikanti i një marke ka deklaruar që pas regjistrimit të markës do të kërkojë të drejtat që rrjedhin nga regjistrimi i saj kundrejt vetë personit, mund të kërkojë inspektimin e dosjes pa pëlqimin e aplikantit edhe para publikimit të këtij aplikimi.</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3. Pas publikimit të aplikimit për regjistrim marke, dosja në lidhje me këtë aplikim dhe marka tregtare që rezulton prej aplikimit, mund të inspektohen pas depozitimit të një kërkese me shkrim dhe kryerjes së pagesës përkatëse.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Kur dosjet inspektohen sipas paragrafit 2 ose 3 të këtij neni, dokumentet në lidhje me përjashtimin ose kërkesën për përjashtim të një anëtari të Dhomës së Kundërshtimeve ose Dhomës për Shfuqizim/Zhvlerësim apo të bordit të apelit, për shkak të ekzistencës së konfliktit të interesit, draftet e vendimeve dhe opinioneve, si dhe të gjitha dokumentet e brendshme të përdorura për përgatitjen e vendimeve dhe opinioneve, ashtu si edhe pjesët e dosjes për të cilat pala e interesuar tregon një interes të veçantë për ruajtjen e konfidencialitetit përpara se të jetë depozituar kërkesa për inspektim të dosjes, ndalohen për inspektim, përveç kur inspektimi i </w:t>
      </w:r>
      <w:r w:rsidRPr="0046598A">
        <w:rPr>
          <w:rFonts w:ascii="Times New Roman" w:hAnsi="Times New Roman" w:cs="Times New Roman"/>
          <w:sz w:val="24"/>
          <w:szCs w:val="24"/>
        </w:rPr>
        <w:lastRenderedPageBreak/>
        <w:t xml:space="preserve">këtyre dokumenteve të dosjes justifikohet me një interes legjitim e thelbësor të palës që kërkon inspektimin.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Inspektimi i dosjes së një aplikimi për regjistrim marke dhe/ose të një marke të regjistruar do të bëhet me dokumente origjinale, kopje të tyre ose me mjete ose pajisje të tjera teknike të ruajtjes.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6. Inspektimi i dosjeve bëhet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mjediseve të zyrës. </w:t>
      </w:r>
      <w:proofErr w:type="gramStart"/>
      <w:r w:rsidRPr="0046598A">
        <w:rPr>
          <w:rFonts w:ascii="Times New Roman" w:hAnsi="Times New Roman" w:cs="Times New Roman"/>
          <w:sz w:val="24"/>
          <w:szCs w:val="24"/>
        </w:rPr>
        <w:t>Bazuar në një kërkesë me shkrim, inspektimi i dosjeve shoqërohet me lëshimin e kopjeve të dokumenteve të dosjes.</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Lëshimi i këtyre kopjeve kushtëzohet me kryerjen e pagesës së tarifës për dublikatë.</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Bazuar në kërkesën me shkrim dhe përkundrejt pagesës së tarifës përkatëse, zyra lëshon edhe kopje të vërtetuara ose të pavërtetuara të një aplikimi për regjistrim marke.</w:t>
      </w:r>
      <w:proofErr w:type="gramEnd"/>
      <w:r w:rsidRPr="0046598A">
        <w:rPr>
          <w:rFonts w:ascii="Times New Roman" w:hAnsi="Times New Roman" w:cs="Times New Roman"/>
          <w:sz w:val="24"/>
          <w:szCs w:val="24"/>
        </w:rPr>
        <w:t xml:space="preser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Kur dosjet inspektohen sipas paragrafit 6 të këtij neni, kërkesa për inspektim të dosjes do të konsiderohet si e padepozituar deri në momentin që do të kryhet pagesa e tarifës përkatëse.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8. Dosjet që mbahen nga zyra për regjistrimet ndërkombëtare mund të inspektohen mbi bazën e një kërkese me shkrim, duke filluar nga data e publikimit të aplikimit ndërkombëtar, në përputhje me paragrafët 1, 3 e 4 të këtij neni.</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9. Në përputhje me kufizimet e vendosura në paragrafin 4 të këtij neni, si dhe bazuar në një kërkesë me shkrim, zyra mund të japë informacion nga çdo dosje që i përket një aplikimi për regjistrim marke ose një marke të regjistruar, pas kryerjes së pagesës së tarifës për hetim.</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KREU XV</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KËRKESA TË PËRGJITHSHME</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62</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Emri dhe adresa</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Në komunikimet që depozitohen në zyrë, emri dhe adresa e aplikantit duhet të tregohen në mënyrën e mëposhtme: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1.1 Nëse aplikanti, kundërshtuesi ose personi që depoziton kërkesën është person fizik: emri, mbiemri, adresa, qyteti, shteti.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Nëse aplikanti, kundërshtuesi ose personi që depoziton kërkesën është person juridik: emri i shoqërisë, adresa, qyteti, shteti.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 komunikimet që depozitohen në zyrë, emri dhe adresa e përfaqësuesit të autorizuar tregohen në mënyrën që vijon: emri, mbiemri, adresa, qyteti, shteti dhe/ose kodi i përfaqësuesit.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3. Kur një aplikim është depozituar nga disa aplikantë, korrespondenca në lidhje me aplikimin do të dërgohet në adresat e secilit aplikant, përveçse kur ata kanë caktuar një përfaqësues të autorizuar.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Aplikanti mund të deklarojë mënyra të tjera kontakti, si: numër telefoni, adresë e-mail-i, faksi etj.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Parashikimet e këtij neni, si dhe të neneve 63 e 64 të kësaj rregulloreje, do të aplikohen gjithashtu për korrespondencat që i komunikohen Dhomës për Shqyrtimin e Kundërshtimeve, Dhomës për Shfuqizim/Zhvlerësim, si dhe bordit të apelit.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6. Në të gjithë formularët e markave do të parashikohet rubrika me tekstin e mëposhtëm: “Unë, i/e nënshkruari(a) __________________, pranoj që DPPI-ja mund të më kontaktojë nëpërmjet mjeteve vijuese të komunikimit, për çështje të lidhura me procedurat e parashikuara në ligjin nr. 9947, datë 7.7.2008, “Për pronësinë industriale”, të ndryshuar, dhe akteve nënligjore në zbatim të tij nëpërmjet: postës elektronike (e-mail), në adresën vijuese</w:t>
      </w:r>
      <w:proofErr w:type="gramStart"/>
      <w:r w:rsidRPr="0046598A">
        <w:rPr>
          <w:rFonts w:ascii="Times New Roman" w:hAnsi="Times New Roman" w:cs="Times New Roman"/>
          <w:sz w:val="24"/>
          <w:szCs w:val="24"/>
        </w:rPr>
        <w:t>:_</w:t>
      </w:r>
      <w:proofErr w:type="gramEnd"/>
      <w:r w:rsidRPr="0046598A">
        <w:rPr>
          <w:rFonts w:ascii="Times New Roman" w:hAnsi="Times New Roman" w:cs="Times New Roman"/>
          <w:sz w:val="24"/>
          <w:szCs w:val="24"/>
        </w:rPr>
        <w:t xml:space="preserve">______________; komunikimit (SMS, telefonatë) në numrin vijues: ____________; faksit, në numrin vijues: ______________; DPPI-ja njofton se shënimi i të dhënave të mësipërme të kontaktit është vullnetar. </w:t>
      </w:r>
      <w:proofErr w:type="gramStart"/>
      <w:r w:rsidRPr="0046598A">
        <w:rPr>
          <w:rFonts w:ascii="Times New Roman" w:hAnsi="Times New Roman" w:cs="Times New Roman"/>
          <w:sz w:val="24"/>
          <w:szCs w:val="24"/>
        </w:rPr>
        <w:t>DPPI-ja do të ruajë këto të dhëna (në vijim, të dhënat personale), që aplikanti dhe/ose personi i autorizuar (në vijim, subjekti) kanë shënuar në këtë formular aplikimi.</w:t>
      </w:r>
      <w:proofErr w:type="gramEnd"/>
      <w:r w:rsidRPr="0046598A">
        <w:rPr>
          <w:rFonts w:ascii="Times New Roman" w:hAnsi="Times New Roman" w:cs="Times New Roman"/>
          <w:sz w:val="24"/>
          <w:szCs w:val="24"/>
        </w:rPr>
        <w:t xml:space="preserve"> Të dhënat personale do të përpunohen e përdoren nga DPPI-ja, në cilësinë e kontrolluesit, apo nga persona të tretë të caktuar nga DPPI-ja, në cilësinë e përpunuesit, ekskluzivisht për të komunikuar me subjektin, për </w:t>
      </w:r>
      <w:proofErr w:type="gramStart"/>
      <w:r w:rsidRPr="0046598A">
        <w:rPr>
          <w:rFonts w:ascii="Times New Roman" w:hAnsi="Times New Roman" w:cs="Times New Roman"/>
          <w:sz w:val="24"/>
          <w:szCs w:val="24"/>
        </w:rPr>
        <w:t>sa</w:t>
      </w:r>
      <w:proofErr w:type="gramEnd"/>
      <w:r w:rsidRPr="0046598A">
        <w:rPr>
          <w:rFonts w:ascii="Times New Roman" w:hAnsi="Times New Roman" w:cs="Times New Roman"/>
          <w:sz w:val="24"/>
          <w:szCs w:val="24"/>
        </w:rPr>
        <w:t xml:space="preserve"> u përket procedurave të lidhura me këtë aplikim. Të dhënat personale nuk do t’i kalohen një marrësi të tretë pa pëlqimin paraprak të subjektit dhe nuk do t’i nënshtrohen transferimit ndërkombëtar. Gjithashtu, DPPI-ja mund të përdorë herë pas here të dhënat personale për të kontaktuar subjektin dhe për t’i dërguar informacione që mund të jenë në interes të tij/saj, të tilla, si: njoftime, ngjarje dhe/ose zhvillime ligjore në fushën e veprimtarisë së DPPI-së. DPPI-ja </w:t>
      </w:r>
      <w:proofErr w:type="gramStart"/>
      <w:r w:rsidRPr="0046598A">
        <w:rPr>
          <w:rFonts w:ascii="Times New Roman" w:hAnsi="Times New Roman" w:cs="Times New Roman"/>
          <w:sz w:val="24"/>
          <w:szCs w:val="24"/>
        </w:rPr>
        <w:t>do</w:t>
      </w:r>
      <w:proofErr w:type="gramEnd"/>
      <w:r w:rsidRPr="0046598A">
        <w:rPr>
          <w:rFonts w:ascii="Times New Roman" w:hAnsi="Times New Roman" w:cs="Times New Roman"/>
          <w:sz w:val="24"/>
          <w:szCs w:val="24"/>
        </w:rPr>
        <w:t xml:space="preserve"> të ndalojë dërgimin e këtij informacioni nëse subjekti njofton shprehimisht me shkrim DPPI-në, se ai/ajo nuk dëshiron të kontaktohet më tej për të marrë informacione të tilla. </w:t>
      </w:r>
      <w:proofErr w:type="gramStart"/>
      <w:r w:rsidRPr="0046598A">
        <w:rPr>
          <w:rFonts w:ascii="Times New Roman" w:hAnsi="Times New Roman" w:cs="Times New Roman"/>
          <w:sz w:val="24"/>
          <w:szCs w:val="24"/>
        </w:rPr>
        <w:t>Subjekti ka të drejtë të kërkojë informacionin, korrigjimin apo përditësimin/anulimin e të dhënave personale, që DPPI-ja ka ruajtur në bazën e të dhënave, si dhe të kërkojë të ushtrojë çdo të drejtë tjetër që i njihet nga ligji nr.</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9887, datë 10.3.2008, “Për mbrojtjen e të dhënave personale”, të ndryshuar.</w:t>
      </w:r>
      <w:proofErr w:type="gramEnd"/>
      <w:r w:rsidRPr="0046598A">
        <w:rPr>
          <w:rFonts w:ascii="Times New Roman" w:hAnsi="Times New Roman" w:cs="Times New Roman"/>
          <w:sz w:val="24"/>
          <w:szCs w:val="24"/>
        </w:rPr>
        <w:t xml:space="preserve"> Data: _____._____.________ __________________________________ (emri, mbiemri, firma) </w:t>
      </w:r>
    </w:p>
    <w:p w:rsidR="00697F45"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Nëpërmjet këtij nënshkrimi të posaçëm, nënshkruesi jep pëlqimin që DPPI-ja të ruajë, të përpunojë e të përdorë të dhënat personale të subjektit, në pajtim me kushtet e mësipërme.</w:t>
      </w:r>
      <w:proofErr w:type="gramEnd"/>
      <w:r w:rsidRPr="0046598A">
        <w:rPr>
          <w:rFonts w:ascii="Times New Roman" w:hAnsi="Times New Roman" w:cs="Times New Roman"/>
          <w:sz w:val="24"/>
          <w:szCs w:val="24"/>
        </w:rPr>
        <w:t xml:space="preserve"> Nëpërmjet këtij nënshkrimi të posaçëm, nënshkruesi gjithashtu deklaron nën përgjegjësinë e tij/saj se të dhënat e kontaktit si më sipër janë të dhënat e tij/saj ose të një personi të tretë, që ka autorizuar nënshkruesin të kryejë këto veprime.</w:t>
      </w:r>
      <w:proofErr w:type="gramStart"/>
      <w:r w:rsidRPr="0046598A">
        <w:rPr>
          <w:rFonts w:ascii="Times New Roman" w:hAnsi="Times New Roman" w:cs="Times New Roman"/>
          <w:sz w:val="24"/>
          <w:szCs w:val="24"/>
        </w:rPr>
        <w:t>”.</w:t>
      </w:r>
      <w:proofErr w:type="gramEnd"/>
      <w:r w:rsidRPr="0046598A">
        <w:rPr>
          <w:rFonts w:ascii="Times New Roman" w:hAnsi="Times New Roman" w:cs="Times New Roman"/>
          <w:sz w:val="24"/>
          <w:szCs w:val="24"/>
        </w:rPr>
        <w:t xml:space="preser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7. Në të gjithë formularët e markave që do të depozitohen në zyrë do të vendoset adresa e zyrës dhe logoja e saj. Neni 63 Kërkesa të tjera për korrespondencën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1. Zyra do të pranojë vetëm nënshkrimet me dorë në dokumentet e depozituara në zyrë. 2. Nëse një komunikim me zyrën përmban disa dokumente, të cilat kanë të bëjnë me disa aplikime, atëherë në çdo dokument duhet të shënohet numri i aplikimit me të cilin lidhet dokumenti. </w:t>
      </w:r>
      <w:proofErr w:type="gramStart"/>
      <w:r w:rsidRPr="0046598A">
        <w:rPr>
          <w:rFonts w:ascii="Times New Roman" w:hAnsi="Times New Roman" w:cs="Times New Roman"/>
          <w:sz w:val="24"/>
          <w:szCs w:val="24"/>
        </w:rPr>
        <w:t>Neni 64 Depozitimi i dokumenteve 1.</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Korrespondenca me zyrën bëhet dorazi ose me postë.</w:t>
      </w:r>
      <w:proofErr w:type="gramEnd"/>
      <w:r w:rsidRPr="0046598A">
        <w:rPr>
          <w:rFonts w:ascii="Times New Roman" w:hAnsi="Times New Roman" w:cs="Times New Roman"/>
          <w:sz w:val="24"/>
          <w:szCs w:val="24"/>
        </w:rPr>
        <w:t xml:space="preser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Kërkesa ose çdolloj dokumenti tjetër që depozitohet në DPPI duhet të jetë me shkrim dhe e përkthyer në gjuhën shqipe.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65</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Autorizimi i përfaqësimit</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Autorizimi i përfaqësimit duhet të përmbajë: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1.1 Nënshkrimin e aplikantit të vërtetuar nga noteri, kur aplikanti është person fizik shqiptar ose i huaj;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1.2 Nënshkrimin dhe vulën e aplikantit ose nënshkrimin e aplikantit të vërtetuar nga noteri, kur aplikanti është person juridik shqiptar ose i huaj.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Nëse autorizimi i përfaqësimit nuk është në përputhje me rregullat e përcaktuara në këtë rregullore zyra njofton përfaqësuesin që ka depozituar aplikimin që të plotësojë parregullsitë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3 muajve nga dita e marrjes së njoftimit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Nëse personi që ka depozituar autorizimin e përfaqësimit nuk plotëson të metat </w:t>
      </w:r>
      <w:proofErr w:type="gramStart"/>
      <w:r w:rsidRPr="0046598A">
        <w:rPr>
          <w:rFonts w:ascii="Times New Roman" w:hAnsi="Times New Roman" w:cs="Times New Roman"/>
          <w:sz w:val="24"/>
          <w:szCs w:val="24"/>
        </w:rPr>
        <w:t>brenda</w:t>
      </w:r>
      <w:proofErr w:type="gramEnd"/>
      <w:r w:rsidRPr="0046598A">
        <w:rPr>
          <w:rFonts w:ascii="Times New Roman" w:hAnsi="Times New Roman" w:cs="Times New Roman"/>
          <w:sz w:val="24"/>
          <w:szCs w:val="24"/>
        </w:rPr>
        <w:t xml:space="preserve"> afatit të caktuar në njoftimin e zyrës, sipas pikës 2 të këtij neni, zyra refuzon aplikimin.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DPPI-ja regjistron në regjistrin e markave një përfaqësues të autorizuar në lidhje me një markë, kur përfaqësuesit i jepen me autorizim të drejta në ndjekjen e procedurave dhe kryerjen e veprimeve që parashikohen në ligj dhe rregullore në lidhje me markën.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5. Për veprimet dhe ndjekjen e procedurave në lidhje me një markë, përfaqësuesi i regjistruar, sipas paragrafit të mëparshëm, nuk ka nevojë të depozitojë autorizimin origjinal, por një fotokopje të tij. 6. Kur aplikanti ose pronari i një marke revokon ose ndryshon autorizimin e përfaqësimit, ai duhet të depozitojë në DPPI kërkesën për revokimin ose ndryshimin e autorizimit, si dhe për caktimin e përfaqësuesit të </w:t>
      </w:r>
      <w:proofErr w:type="gramStart"/>
      <w:r w:rsidRPr="0046598A">
        <w:rPr>
          <w:rFonts w:ascii="Times New Roman" w:hAnsi="Times New Roman" w:cs="Times New Roman"/>
          <w:sz w:val="24"/>
          <w:szCs w:val="24"/>
        </w:rPr>
        <w:t>ri</w:t>
      </w:r>
      <w:proofErr w:type="gramEnd"/>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Kërkesa regjistrohet në regjistrin e markave, sipas parashikimeve të pikës 4 të këtij neni.</w:t>
      </w:r>
      <w:proofErr w:type="gramEnd"/>
      <w:r w:rsidRPr="0046598A">
        <w:rPr>
          <w:rFonts w:ascii="Times New Roman" w:hAnsi="Times New Roman" w:cs="Times New Roman"/>
          <w:sz w:val="24"/>
          <w:szCs w:val="24"/>
        </w:rPr>
        <w:t xml:space="preserve">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66</w:t>
      </w:r>
    </w:p>
    <w:p w:rsidR="00697F45" w:rsidRPr="0046598A" w:rsidRDefault="00697F45" w:rsidP="00697F45">
      <w:pPr>
        <w:tabs>
          <w:tab w:val="center" w:pos="4680"/>
          <w:tab w:val="left" w:pos="6045"/>
        </w:tabs>
        <w:rPr>
          <w:rFonts w:ascii="Times New Roman" w:hAnsi="Times New Roman" w:cs="Times New Roman"/>
          <w:b/>
          <w:sz w:val="24"/>
          <w:szCs w:val="24"/>
        </w:rPr>
      </w:pPr>
      <w:r w:rsidRPr="0046598A">
        <w:rPr>
          <w:rFonts w:ascii="Times New Roman" w:hAnsi="Times New Roman" w:cs="Times New Roman"/>
          <w:b/>
          <w:sz w:val="24"/>
          <w:szCs w:val="24"/>
        </w:rPr>
        <w:tab/>
      </w:r>
      <w:r w:rsidR="009A47D1" w:rsidRPr="0046598A">
        <w:rPr>
          <w:rFonts w:ascii="Times New Roman" w:hAnsi="Times New Roman" w:cs="Times New Roman"/>
          <w:b/>
          <w:sz w:val="24"/>
          <w:szCs w:val="24"/>
        </w:rPr>
        <w:t>Ekzaminimi i fakteve</w:t>
      </w:r>
      <w:r w:rsidRPr="0046598A">
        <w:rPr>
          <w:rFonts w:ascii="Times New Roman" w:hAnsi="Times New Roman" w:cs="Times New Roman"/>
          <w:b/>
          <w:sz w:val="24"/>
          <w:szCs w:val="24"/>
        </w:rPr>
        <w:tab/>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Gjatë ndjekjes së procedurave në lidhje me shkaqet absolute, zyra i ekzaminon faktet me iniciativën e vet.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2. Gjatë ndjekjes së procedurave në lidhje me shkaqet relative, zyra e shqyrton një kërkesë për kundërshtim marke, duke u kufizuar vetëm në ekzaminimin e fakteve, provave dhe argumenteve të paraqitura nga palët në lidhje me këtë kërkesë, sipas nenit 43 të kësaj rregulloreje.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3. Gjatë ndjekjes së procedurave të shfuqizimit/ zhvlerësimit, sipas nenit 174 të ligjit, zyra duhet të kufizojë ekzaminimin mbi bazat dhe argumentet e parashtruara nga palët, sipas nenit 43 të kësaj rregulloreje</w:t>
      </w:r>
      <w:r w:rsidR="00697F45" w:rsidRPr="0046598A">
        <w:rPr>
          <w:rFonts w:ascii="Times New Roman" w:hAnsi="Times New Roman" w:cs="Times New Roman"/>
          <w:sz w:val="24"/>
          <w:szCs w:val="24"/>
        </w:rPr>
        <w:t>.</w:t>
      </w:r>
      <w:r w:rsidRPr="0046598A">
        <w:rPr>
          <w:rFonts w:ascii="Times New Roman" w:hAnsi="Times New Roman" w:cs="Times New Roman"/>
          <w:sz w:val="24"/>
          <w:szCs w:val="24"/>
        </w:rPr>
        <w:t xml:space="preser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Zyra nuk merr parasysh faktet ose provat që nuk janë depozituar në afat, si dhe ato që nuk kanë lidhje më çështjen.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67</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Seancat dëgjimore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w:t>
      </w:r>
      <w:proofErr w:type="gramStart"/>
      <w:r w:rsidRPr="0046598A">
        <w:rPr>
          <w:rFonts w:ascii="Times New Roman" w:hAnsi="Times New Roman" w:cs="Times New Roman"/>
          <w:sz w:val="24"/>
          <w:szCs w:val="24"/>
        </w:rPr>
        <w:t>Kur konsiderohet e nevojshme, zyra ose bordi i apelit zhvillon seanca dëgjimore, si dhe thërret palët të marrin pjesë në seanca.</w:t>
      </w:r>
      <w:proofErr w:type="gramEnd"/>
      <w:r w:rsidRPr="0046598A">
        <w:rPr>
          <w:rFonts w:ascii="Times New Roman" w:hAnsi="Times New Roman" w:cs="Times New Roman"/>
          <w:sz w:val="24"/>
          <w:szCs w:val="24"/>
        </w:rPr>
        <w:t xml:space="preserve">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68</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Marrja e provave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Marrja dhe sigurimi i provave nga zyra dhe bordi i apelimit përbëhet nga: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1. Dëgjimi i palëve;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Kërkimi i informacionit shtesë palëve;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Depozitimi i dokumenteve dhe provave;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4. Dëgjimi i personave të tjerë, kur çmohet i nevojshëm nga zyra, bordi i apelit ose me kërkesë të palëve.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69</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Njoftimi dhe dërgimi i dokumenteve</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 1. Data e njoftimit të një dokumenti do të konsiderohet data e marrjes në dorëzim të njoftimit nga aplikanti ose përfaqësuesi i tij. Afatet e njoftimit do të llogariten duke filluar nga e nesërmja e marrjes në dorëzim të njoftimit.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2. Çdo njoftim i dërguar përfaqësuesit, do të ketë të njëjtin efekt si t’i jetë dërguar personit të përfaqësuar.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t xml:space="preserve">3. Çdo komunikim i adresuar zyrës nga një përfaqësues, do të konsiderohet si të jetë dërguar nga personi i përfaqësuar. </w:t>
      </w:r>
    </w:p>
    <w:p w:rsidR="00697F45" w:rsidRPr="0046598A" w:rsidRDefault="009A47D1">
      <w:pPr>
        <w:rPr>
          <w:rFonts w:ascii="Times New Roman" w:hAnsi="Times New Roman" w:cs="Times New Roman"/>
          <w:sz w:val="24"/>
          <w:szCs w:val="24"/>
        </w:rPr>
      </w:pPr>
      <w:r w:rsidRPr="0046598A">
        <w:rPr>
          <w:rFonts w:ascii="Times New Roman" w:hAnsi="Times New Roman" w:cs="Times New Roman"/>
          <w:sz w:val="24"/>
          <w:szCs w:val="24"/>
        </w:rPr>
        <w:lastRenderedPageBreak/>
        <w:t xml:space="preserve">4. Nëse është caktuar një përfaqësues i autorizuar, zyra do t’i dërgojë të gjitha njoftimet këtij të fundit. </w:t>
      </w:r>
    </w:p>
    <w:p w:rsidR="00697F45" w:rsidRPr="0046598A" w:rsidRDefault="009A47D1" w:rsidP="00697F45">
      <w:pPr>
        <w:jc w:val="center"/>
        <w:rPr>
          <w:rFonts w:ascii="Times New Roman" w:hAnsi="Times New Roman" w:cs="Times New Roman"/>
          <w:sz w:val="24"/>
          <w:szCs w:val="24"/>
        </w:rPr>
      </w:pPr>
      <w:r w:rsidRPr="0046598A">
        <w:rPr>
          <w:rFonts w:ascii="Times New Roman" w:hAnsi="Times New Roman" w:cs="Times New Roman"/>
          <w:sz w:val="24"/>
          <w:szCs w:val="24"/>
        </w:rPr>
        <w:t>Neni 70</w:t>
      </w:r>
    </w:p>
    <w:p w:rsidR="00697F45" w:rsidRPr="0046598A" w:rsidRDefault="009A47D1" w:rsidP="00697F45">
      <w:pPr>
        <w:jc w:val="center"/>
        <w:rPr>
          <w:rFonts w:ascii="Times New Roman" w:hAnsi="Times New Roman" w:cs="Times New Roman"/>
          <w:b/>
          <w:sz w:val="24"/>
          <w:szCs w:val="24"/>
        </w:rPr>
      </w:pPr>
      <w:r w:rsidRPr="0046598A">
        <w:rPr>
          <w:rFonts w:ascii="Times New Roman" w:hAnsi="Times New Roman" w:cs="Times New Roman"/>
          <w:b/>
          <w:sz w:val="24"/>
          <w:szCs w:val="24"/>
        </w:rPr>
        <w:t>Hyrja në fuqi</w:t>
      </w:r>
    </w:p>
    <w:p w:rsidR="00DD431F" w:rsidRPr="0046598A" w:rsidRDefault="009A47D1">
      <w:pPr>
        <w:rPr>
          <w:rFonts w:ascii="Times New Roman" w:hAnsi="Times New Roman" w:cs="Times New Roman"/>
          <w:sz w:val="24"/>
          <w:szCs w:val="24"/>
        </w:rPr>
      </w:pPr>
      <w:proofErr w:type="gramStart"/>
      <w:r w:rsidRPr="0046598A">
        <w:rPr>
          <w:rFonts w:ascii="Times New Roman" w:hAnsi="Times New Roman" w:cs="Times New Roman"/>
          <w:sz w:val="24"/>
          <w:szCs w:val="24"/>
        </w:rPr>
        <w:t>Kjo rregullore hyn në fuqi menjëherë pas botimit në Fletoren Zyrtare.</w:t>
      </w:r>
      <w:proofErr w:type="gramEnd"/>
      <w:r w:rsidRPr="0046598A">
        <w:rPr>
          <w:rFonts w:ascii="Times New Roman" w:hAnsi="Times New Roman" w:cs="Times New Roman"/>
          <w:sz w:val="24"/>
          <w:szCs w:val="24"/>
        </w:rPr>
        <w:t xml:space="preserve"> </w:t>
      </w:r>
    </w:p>
    <w:sectPr w:rsidR="00DD431F" w:rsidRPr="0046598A" w:rsidSect="00DD4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A" w:rsidRDefault="0046598A">
    <w:pPr>
      <w:pStyle w:val="BodyText"/>
      <w:spacing w:line="14" w:lineRule="auto"/>
      <w:jc w:val="left"/>
      <w:rPr>
        <w:sz w:val="20"/>
      </w:rPr>
    </w:pPr>
    <w:r w:rsidRPr="00875B0F">
      <w:pict>
        <v:shapetype id="_x0000_t202" coordsize="21600,21600" o:spt="202" path="m,l,21600r21600,l21600,xe">
          <v:stroke joinstyle="miter"/>
          <v:path gradientshapeok="t" o:connecttype="rect"/>
        </v:shapetype>
        <v:shape id="_x0000_s3073" type="#_x0000_t202" style="position:absolute;margin-left:514.35pt;margin-top:777.85pt;width:12pt;height:15.3pt;z-index:-251656192;mso-position-horizontal-relative:page;mso-position-vertical-relative:page" filled="f" stroked="f">
          <v:textbox inset="0,0,0,0">
            <w:txbxContent>
              <w:p w:rsidR="0046598A" w:rsidRDefault="0046598A">
                <w:pPr>
                  <w:pStyle w:val="BodyText"/>
                  <w:spacing w:before="10"/>
                  <w:ind w:left="60"/>
                  <w:jc w:val="left"/>
                </w:pPr>
                <w:fldSimple w:instr=" PAGE ">
                  <w:r w:rsidR="0065105C">
                    <w:rPr>
                      <w:noProof/>
                    </w:rPr>
                    <w:t>42</w:t>
                  </w:r>
                </w:fldSimple>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929C9"/>
    <w:multiLevelType w:val="hybridMultilevel"/>
    <w:tmpl w:val="E1146BC6"/>
    <w:lvl w:ilvl="0" w:tplc="E90620E2">
      <w:start w:val="1"/>
      <w:numFmt w:val="decimal"/>
      <w:lvlText w:val="%1."/>
      <w:lvlJc w:val="left"/>
      <w:pPr>
        <w:ind w:left="120" w:hanging="233"/>
        <w:jc w:val="left"/>
      </w:pPr>
      <w:rPr>
        <w:rFonts w:ascii="Times New Roman" w:eastAsia="Times New Roman" w:hAnsi="Times New Roman" w:cs="Times New Roman" w:hint="default"/>
        <w:spacing w:val="-1"/>
        <w:w w:val="91"/>
        <w:sz w:val="24"/>
        <w:szCs w:val="24"/>
        <w:lang w:val="sq-AL" w:eastAsia="en-US" w:bidi="ar-SA"/>
      </w:rPr>
    </w:lvl>
    <w:lvl w:ilvl="1" w:tplc="07FEEC22">
      <w:numFmt w:val="none"/>
      <w:lvlText w:val=""/>
      <w:lvlJc w:val="left"/>
      <w:pPr>
        <w:tabs>
          <w:tab w:val="num" w:pos="360"/>
        </w:tabs>
      </w:pPr>
    </w:lvl>
    <w:lvl w:ilvl="2" w:tplc="675CBFF8">
      <w:numFmt w:val="none"/>
      <w:lvlText w:val=""/>
      <w:lvlJc w:val="left"/>
      <w:pPr>
        <w:tabs>
          <w:tab w:val="num" w:pos="360"/>
        </w:tabs>
      </w:pPr>
    </w:lvl>
    <w:lvl w:ilvl="3" w:tplc="2EF4B496">
      <w:numFmt w:val="bullet"/>
      <w:lvlText w:val="•"/>
      <w:lvlJc w:val="left"/>
      <w:pPr>
        <w:ind w:left="2754" w:hanging="502"/>
      </w:pPr>
      <w:rPr>
        <w:rFonts w:hint="default"/>
        <w:lang w:val="sq-AL" w:eastAsia="en-US" w:bidi="ar-SA"/>
      </w:rPr>
    </w:lvl>
    <w:lvl w:ilvl="4" w:tplc="674E91B2">
      <w:numFmt w:val="bullet"/>
      <w:lvlText w:val="•"/>
      <w:lvlJc w:val="left"/>
      <w:pPr>
        <w:ind w:left="3682" w:hanging="502"/>
      </w:pPr>
      <w:rPr>
        <w:rFonts w:hint="default"/>
        <w:lang w:val="sq-AL" w:eastAsia="en-US" w:bidi="ar-SA"/>
      </w:rPr>
    </w:lvl>
    <w:lvl w:ilvl="5" w:tplc="EA4629C8">
      <w:numFmt w:val="bullet"/>
      <w:lvlText w:val="•"/>
      <w:lvlJc w:val="left"/>
      <w:pPr>
        <w:ind w:left="4609" w:hanging="502"/>
      </w:pPr>
      <w:rPr>
        <w:rFonts w:hint="default"/>
        <w:lang w:val="sq-AL" w:eastAsia="en-US" w:bidi="ar-SA"/>
      </w:rPr>
    </w:lvl>
    <w:lvl w:ilvl="6" w:tplc="246800BE">
      <w:numFmt w:val="bullet"/>
      <w:lvlText w:val="•"/>
      <w:lvlJc w:val="left"/>
      <w:pPr>
        <w:ind w:left="5537" w:hanging="502"/>
      </w:pPr>
      <w:rPr>
        <w:rFonts w:hint="default"/>
        <w:lang w:val="sq-AL" w:eastAsia="en-US" w:bidi="ar-SA"/>
      </w:rPr>
    </w:lvl>
    <w:lvl w:ilvl="7" w:tplc="C46AD0C0">
      <w:numFmt w:val="bullet"/>
      <w:lvlText w:val="•"/>
      <w:lvlJc w:val="left"/>
      <w:pPr>
        <w:ind w:left="6464" w:hanging="502"/>
      </w:pPr>
      <w:rPr>
        <w:rFonts w:hint="default"/>
        <w:lang w:val="sq-AL" w:eastAsia="en-US" w:bidi="ar-SA"/>
      </w:rPr>
    </w:lvl>
    <w:lvl w:ilvl="8" w:tplc="02FE1D76">
      <w:numFmt w:val="bullet"/>
      <w:lvlText w:val="•"/>
      <w:lvlJc w:val="left"/>
      <w:pPr>
        <w:ind w:left="7392" w:hanging="502"/>
      </w:pPr>
      <w:rPr>
        <w:rFonts w:hint="default"/>
        <w:lang w:val="sq-A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8"/>
    <o:shapelayout v:ext="edit">
      <o:idmap v:ext="edit" data="3"/>
    </o:shapelayout>
  </w:hdrShapeDefaults>
  <w:compat/>
  <w:rsids>
    <w:rsidRoot w:val="009A47D1"/>
    <w:rsid w:val="001B65F7"/>
    <w:rsid w:val="001E5C2E"/>
    <w:rsid w:val="00220063"/>
    <w:rsid w:val="0046598A"/>
    <w:rsid w:val="0065105C"/>
    <w:rsid w:val="00697F45"/>
    <w:rsid w:val="007F775E"/>
    <w:rsid w:val="009A47D1"/>
    <w:rsid w:val="00B14C42"/>
    <w:rsid w:val="00CB462F"/>
    <w:rsid w:val="00DD4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1F"/>
  </w:style>
  <w:style w:type="paragraph" w:styleId="Heading1">
    <w:name w:val="heading 1"/>
    <w:basedOn w:val="Normal"/>
    <w:link w:val="Heading1Char"/>
    <w:uiPriority w:val="1"/>
    <w:qFormat/>
    <w:rsid w:val="0046598A"/>
    <w:pPr>
      <w:widowControl w:val="0"/>
      <w:autoSpaceDE w:val="0"/>
      <w:autoSpaceDN w:val="0"/>
      <w:spacing w:after="0" w:line="273" w:lineRule="exact"/>
      <w:ind w:left="3117" w:right="1"/>
      <w:jc w:val="center"/>
      <w:outlineLvl w:val="0"/>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5C2E"/>
    <w:pPr>
      <w:ind w:left="720"/>
      <w:contextualSpacing/>
    </w:pPr>
  </w:style>
  <w:style w:type="character" w:customStyle="1" w:styleId="Heading1Char">
    <w:name w:val="Heading 1 Char"/>
    <w:basedOn w:val="DefaultParagraphFont"/>
    <w:link w:val="Heading1"/>
    <w:uiPriority w:val="1"/>
    <w:rsid w:val="0046598A"/>
    <w:rPr>
      <w:rFonts w:ascii="Times New Roman" w:eastAsia="Times New Roman" w:hAnsi="Times New Roman" w:cs="Times New Roman"/>
      <w:b/>
      <w:bCs/>
      <w:sz w:val="24"/>
      <w:szCs w:val="24"/>
      <w:lang w:val="sq-AL"/>
    </w:rPr>
  </w:style>
  <w:style w:type="paragraph" w:styleId="BodyText">
    <w:name w:val="Body Text"/>
    <w:basedOn w:val="Normal"/>
    <w:link w:val="BodyTextChar"/>
    <w:uiPriority w:val="1"/>
    <w:qFormat/>
    <w:rsid w:val="0046598A"/>
    <w:pPr>
      <w:widowControl w:val="0"/>
      <w:autoSpaceDE w:val="0"/>
      <w:autoSpaceDN w:val="0"/>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46598A"/>
    <w:rPr>
      <w:rFonts w:ascii="Times New Roman" w:eastAsia="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15230</Words>
  <Characters>86813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User-juridik</dc:creator>
  <cp:lastModifiedBy>User-juridik</cp:lastModifiedBy>
  <cp:revision>2</cp:revision>
  <dcterms:created xsi:type="dcterms:W3CDTF">2022-08-15T09:44:00Z</dcterms:created>
  <dcterms:modified xsi:type="dcterms:W3CDTF">2022-08-15T09:44:00Z</dcterms:modified>
</cp:coreProperties>
</file>